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89" w:rsidRPr="00BA1404" w:rsidRDefault="00C04789" w:rsidP="00C04789">
      <w:pPr>
        <w:spacing w:line="240" w:lineRule="auto"/>
        <w:jc w:val="center"/>
        <w:rPr>
          <w:rFonts w:ascii="Arial Narrow" w:hAnsi="Arial Narrow" w:cs="Arial"/>
          <w:b/>
        </w:rPr>
      </w:pPr>
      <w:r w:rsidRPr="00BA1404">
        <w:rPr>
          <w:rFonts w:ascii="Arial Narrow" w:hAnsi="Arial Narrow" w:cs="Arial"/>
          <w:b/>
        </w:rPr>
        <w:t xml:space="preserve">PRESENTADO DE MANERA CONJUNTA POR: </w:t>
      </w:r>
    </w:p>
    <w:p w:rsidR="00C04789" w:rsidRPr="00BA1404" w:rsidRDefault="00C04789" w:rsidP="00C04789">
      <w:pPr>
        <w:spacing w:line="240" w:lineRule="auto"/>
        <w:jc w:val="center"/>
        <w:rPr>
          <w:rFonts w:ascii="Arial Narrow" w:hAnsi="Arial Narrow" w:cs="Arial"/>
          <w:b/>
          <w:sz w:val="28"/>
          <w:szCs w:val="28"/>
          <w:lang w:val="pt-BR"/>
        </w:rPr>
      </w:pPr>
      <w:r w:rsidRPr="00BA1404">
        <w:rPr>
          <w:rFonts w:ascii="Arial Narrow" w:hAnsi="Arial Narrow" w:cs="Arial"/>
          <w:b/>
          <w:sz w:val="28"/>
          <w:szCs w:val="28"/>
          <w:lang w:val="pt-BR"/>
        </w:rPr>
        <w:t>REDI -</w:t>
      </w:r>
      <w:r w:rsidR="004939B7">
        <w:rPr>
          <w:rFonts w:ascii="Arial Narrow" w:hAnsi="Arial Narrow" w:cs="Arial"/>
          <w:b/>
          <w:sz w:val="28"/>
          <w:szCs w:val="28"/>
          <w:lang w:val="pt-BR"/>
        </w:rPr>
        <w:t xml:space="preserve"> ADC</w:t>
      </w:r>
      <w:r w:rsidR="00363731">
        <w:rPr>
          <w:rFonts w:ascii="Arial Narrow" w:hAnsi="Arial Narrow" w:cs="Arial"/>
          <w:b/>
          <w:sz w:val="28"/>
          <w:szCs w:val="28"/>
          <w:lang w:val="pt-BR"/>
        </w:rPr>
        <w:t xml:space="preserve"> </w:t>
      </w:r>
      <w:r w:rsidR="00FA542F">
        <w:rPr>
          <w:rFonts w:ascii="Arial Narrow" w:hAnsi="Arial Narrow" w:cs="Arial"/>
          <w:b/>
          <w:sz w:val="28"/>
          <w:szCs w:val="28"/>
          <w:lang w:val="pt-BR"/>
        </w:rPr>
        <w:t>–</w:t>
      </w:r>
      <w:r w:rsidR="00363731">
        <w:rPr>
          <w:rFonts w:ascii="Arial Narrow" w:hAnsi="Arial Narrow" w:cs="Arial"/>
          <w:b/>
          <w:sz w:val="28"/>
          <w:szCs w:val="28"/>
          <w:lang w:val="pt-BR"/>
        </w:rPr>
        <w:t xml:space="preserve"> FAICA</w:t>
      </w:r>
      <w:r w:rsidR="00FA542F">
        <w:rPr>
          <w:rFonts w:ascii="Arial Narrow" w:hAnsi="Arial Narrow" w:cs="Arial"/>
          <w:b/>
          <w:sz w:val="28"/>
          <w:szCs w:val="28"/>
          <w:lang w:val="pt-BR"/>
        </w:rPr>
        <w:t xml:space="preserve"> - ACIJ</w:t>
      </w:r>
    </w:p>
    <w:p w:rsidR="00C04789" w:rsidRPr="00BA1404" w:rsidRDefault="00C04789" w:rsidP="00C04789">
      <w:pPr>
        <w:spacing w:line="240" w:lineRule="auto"/>
        <w:jc w:val="center"/>
        <w:rPr>
          <w:rFonts w:ascii="Arial Narrow" w:hAnsi="Arial Narrow" w:cs="Arial"/>
          <w:b/>
          <w:lang w:val="pt-BR"/>
        </w:rPr>
      </w:pPr>
    </w:p>
    <w:tbl>
      <w:tblPr>
        <w:tblW w:w="9288" w:type="dxa"/>
        <w:tblLayout w:type="fixed"/>
        <w:tblLook w:val="04A0" w:firstRow="1" w:lastRow="0" w:firstColumn="1" w:lastColumn="0" w:noHBand="0" w:noVBand="1"/>
      </w:tblPr>
      <w:tblGrid>
        <w:gridCol w:w="1250"/>
        <w:gridCol w:w="1998"/>
        <w:gridCol w:w="2853"/>
        <w:gridCol w:w="1712"/>
        <w:gridCol w:w="1475"/>
      </w:tblGrid>
      <w:tr w:rsidR="00C04789" w:rsidRPr="00A95A61" w:rsidTr="00BD3A5C">
        <w:trPr>
          <w:trHeight w:val="1287"/>
        </w:trPr>
        <w:tc>
          <w:tcPr>
            <w:tcW w:w="1250" w:type="dxa"/>
            <w:vAlign w:val="center"/>
          </w:tcPr>
          <w:p w:rsidR="00C04789" w:rsidRPr="00A95A61" w:rsidRDefault="00C04789" w:rsidP="00BD3A5C">
            <w:pPr>
              <w:spacing w:line="240" w:lineRule="auto"/>
              <w:jc w:val="center"/>
              <w:rPr>
                <w:rFonts w:ascii="Arial Narrow" w:hAnsi="Arial Narrow" w:cs="Arial"/>
                <w:b/>
              </w:rPr>
            </w:pPr>
            <w:r>
              <w:rPr>
                <w:rFonts w:ascii="Arial Narrow" w:hAnsi="Arial Narrow"/>
                <w:noProof/>
                <w:lang w:val="en-GB" w:eastAsia="en-GB"/>
              </w:rPr>
              <w:drawing>
                <wp:inline distT="0" distB="0" distL="0" distR="0">
                  <wp:extent cx="542925" cy="733425"/>
                  <wp:effectExtent l="19050" t="0" r="9525" b="0"/>
                  <wp:docPr id="1" name="il_fi" descr="REDI-7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EDI-74x100"/>
                          <pic:cNvPicPr>
                            <a:picLocks noChangeAspect="1" noChangeArrowheads="1"/>
                          </pic:cNvPicPr>
                        </pic:nvPicPr>
                        <pic:blipFill>
                          <a:blip r:embed="rId9" cstate="print">
                            <a:grayscl/>
                            <a:biLevel thresh="50000"/>
                          </a:blip>
                          <a:srcRect/>
                          <a:stretch>
                            <a:fillRect/>
                          </a:stretch>
                        </pic:blipFill>
                        <pic:spPr bwMode="auto">
                          <a:xfrm>
                            <a:off x="0" y="0"/>
                            <a:ext cx="542925" cy="733425"/>
                          </a:xfrm>
                          <a:prstGeom prst="rect">
                            <a:avLst/>
                          </a:prstGeom>
                          <a:noFill/>
                          <a:ln w="9525">
                            <a:noFill/>
                            <a:miter lim="800000"/>
                            <a:headEnd/>
                            <a:tailEnd/>
                          </a:ln>
                        </pic:spPr>
                      </pic:pic>
                    </a:graphicData>
                  </a:graphic>
                </wp:inline>
              </w:drawing>
            </w:r>
          </w:p>
        </w:tc>
        <w:tc>
          <w:tcPr>
            <w:tcW w:w="1998" w:type="dxa"/>
            <w:vAlign w:val="center"/>
          </w:tcPr>
          <w:p w:rsidR="00C04789" w:rsidRPr="00A95A61" w:rsidRDefault="00C04789" w:rsidP="00803063">
            <w:pPr>
              <w:spacing w:line="240" w:lineRule="auto"/>
              <w:rPr>
                <w:rFonts w:ascii="Arial Narrow" w:hAnsi="Arial Narrow" w:cs="Arial"/>
                <w:b/>
              </w:rPr>
            </w:pPr>
            <w:r>
              <w:rPr>
                <w:rFonts w:ascii="Arial Narrow" w:hAnsi="Arial Narrow" w:cs="Arial"/>
                <w:b/>
                <w:i/>
                <w:noProof/>
                <w:lang w:val="en-GB" w:eastAsia="en-GB"/>
              </w:rPr>
              <w:drawing>
                <wp:anchor distT="0" distB="0" distL="114300" distR="114300" simplePos="0" relativeHeight="251658240" behindDoc="0" locked="0" layoutInCell="1" allowOverlap="1">
                  <wp:simplePos x="0" y="0"/>
                  <wp:positionH relativeFrom="column">
                    <wp:posOffset>-24765</wp:posOffset>
                  </wp:positionH>
                  <wp:positionV relativeFrom="paragraph">
                    <wp:posOffset>62230</wp:posOffset>
                  </wp:positionV>
                  <wp:extent cx="1769110" cy="350520"/>
                  <wp:effectExtent l="19050" t="0" r="2540" b="0"/>
                  <wp:wrapNone/>
                  <wp:docPr id="6" name="Imagen 2" descr="Logo ADC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DC Color (1)"/>
                          <pic:cNvPicPr>
                            <a:picLocks noChangeAspect="1" noChangeArrowheads="1"/>
                          </pic:cNvPicPr>
                        </pic:nvPicPr>
                        <pic:blipFill>
                          <a:blip r:embed="rId10" cstate="print"/>
                          <a:srcRect/>
                          <a:stretch>
                            <a:fillRect/>
                          </a:stretch>
                        </pic:blipFill>
                        <pic:spPr bwMode="auto">
                          <a:xfrm>
                            <a:off x="0" y="0"/>
                            <a:ext cx="1769110" cy="350520"/>
                          </a:xfrm>
                          <a:prstGeom prst="rect">
                            <a:avLst/>
                          </a:prstGeom>
                          <a:noFill/>
                          <a:ln w="9525">
                            <a:noFill/>
                            <a:miter lim="800000"/>
                            <a:headEnd/>
                            <a:tailEnd/>
                          </a:ln>
                        </pic:spPr>
                      </pic:pic>
                    </a:graphicData>
                  </a:graphic>
                </wp:anchor>
              </w:drawing>
            </w:r>
          </w:p>
        </w:tc>
        <w:tc>
          <w:tcPr>
            <w:tcW w:w="2853" w:type="dxa"/>
            <w:vAlign w:val="center"/>
          </w:tcPr>
          <w:p w:rsidR="00C04789" w:rsidRPr="00A95A61" w:rsidRDefault="00803063" w:rsidP="00BD3A5C">
            <w:pPr>
              <w:spacing w:line="240" w:lineRule="auto"/>
              <w:jc w:val="center"/>
              <w:rPr>
                <w:rFonts w:ascii="Arial Narrow" w:hAnsi="Arial Narrow" w:cs="Arial"/>
                <w:b/>
              </w:rPr>
            </w:pPr>
            <w:r>
              <w:rPr>
                <w:rFonts w:ascii="Arial Narrow" w:hAnsi="Arial Narrow" w:cs="Arial"/>
                <w:b/>
                <w:noProof/>
                <w:lang w:eastAsia="es-AR"/>
              </w:rPr>
              <w:t xml:space="preserve">                  </w:t>
            </w:r>
            <w:r>
              <w:rPr>
                <w:rFonts w:ascii="Arial Narrow" w:hAnsi="Arial Narrow" w:cs="Arial"/>
                <w:b/>
                <w:noProof/>
                <w:lang w:val="en-GB" w:eastAsia="en-GB"/>
              </w:rPr>
              <w:drawing>
                <wp:inline distT="0" distB="0" distL="0" distR="0">
                  <wp:extent cx="933450" cy="657225"/>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33450" cy="657225"/>
                          </a:xfrm>
                          <a:prstGeom prst="rect">
                            <a:avLst/>
                          </a:prstGeom>
                          <a:noFill/>
                          <a:ln w="9525">
                            <a:noFill/>
                            <a:miter lim="800000"/>
                            <a:headEnd/>
                            <a:tailEnd/>
                          </a:ln>
                        </pic:spPr>
                      </pic:pic>
                    </a:graphicData>
                  </a:graphic>
                </wp:inline>
              </w:drawing>
            </w:r>
          </w:p>
        </w:tc>
        <w:tc>
          <w:tcPr>
            <w:tcW w:w="1712" w:type="dxa"/>
          </w:tcPr>
          <w:p w:rsidR="00C04789" w:rsidRPr="00A95A61" w:rsidRDefault="00803063" w:rsidP="00BD3A5C">
            <w:pPr>
              <w:spacing w:line="240" w:lineRule="auto"/>
              <w:jc w:val="center"/>
              <w:rPr>
                <w:rFonts w:ascii="Arial Narrow" w:hAnsi="Arial Narrow" w:cs="Arial"/>
                <w:b/>
              </w:rPr>
            </w:pPr>
            <w:r>
              <w:rPr>
                <w:noProof/>
                <w:lang w:val="en-GB" w:eastAsia="en-GB"/>
              </w:rPr>
              <w:drawing>
                <wp:inline distT="0" distB="0" distL="0" distR="0">
                  <wp:extent cx="716890" cy="716890"/>
                  <wp:effectExtent l="19050" t="0" r="7010" b="0"/>
                  <wp:docPr id="8" name="Imagen 1" descr="Asociación Civil por la Igualdad y la Justicia - Buenos Aires (Buenos Aires,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iación Civil por la Igualdad y la Justicia - Buenos Aires (Buenos Aires, Argentina)"/>
                          <pic:cNvPicPr>
                            <a:picLocks noChangeAspect="1" noChangeArrowheads="1"/>
                          </pic:cNvPicPr>
                        </pic:nvPicPr>
                        <pic:blipFill>
                          <a:blip r:embed="rId12" cstate="print"/>
                          <a:srcRect/>
                          <a:stretch>
                            <a:fillRect/>
                          </a:stretch>
                        </pic:blipFill>
                        <pic:spPr bwMode="auto">
                          <a:xfrm>
                            <a:off x="0" y="0"/>
                            <a:ext cx="716842" cy="716842"/>
                          </a:xfrm>
                          <a:prstGeom prst="rect">
                            <a:avLst/>
                          </a:prstGeom>
                          <a:noFill/>
                          <a:ln w="9525">
                            <a:noFill/>
                            <a:miter lim="800000"/>
                            <a:headEnd/>
                            <a:tailEnd/>
                          </a:ln>
                        </pic:spPr>
                      </pic:pic>
                    </a:graphicData>
                  </a:graphic>
                </wp:inline>
              </w:drawing>
            </w:r>
          </w:p>
        </w:tc>
        <w:tc>
          <w:tcPr>
            <w:tcW w:w="1475" w:type="dxa"/>
            <w:vAlign w:val="center"/>
          </w:tcPr>
          <w:p w:rsidR="00C04789" w:rsidRPr="00A95A61" w:rsidRDefault="00C04789" w:rsidP="00C04789">
            <w:pPr>
              <w:spacing w:line="240" w:lineRule="auto"/>
              <w:rPr>
                <w:rFonts w:ascii="Arial Narrow" w:hAnsi="Arial Narrow" w:cs="Arial"/>
                <w:b/>
              </w:rPr>
            </w:pPr>
          </w:p>
        </w:tc>
      </w:tr>
    </w:tbl>
    <w:p w:rsidR="00C04789" w:rsidRPr="00E2011D" w:rsidRDefault="00C04789" w:rsidP="00C04789">
      <w:pPr>
        <w:spacing w:after="0" w:line="240" w:lineRule="auto"/>
        <w:jc w:val="both"/>
        <w:rPr>
          <w:rFonts w:ascii="Arial Narrow" w:hAnsi="Arial Narrow" w:cs="Arial"/>
          <w:sz w:val="16"/>
          <w:szCs w:val="16"/>
          <w:lang w:val="es-ES"/>
        </w:rPr>
      </w:pPr>
    </w:p>
    <w:p w:rsidR="001871B6" w:rsidRDefault="001871B6" w:rsidP="00C04789">
      <w:pPr>
        <w:spacing w:line="240" w:lineRule="auto"/>
        <w:jc w:val="both"/>
        <w:rPr>
          <w:rFonts w:ascii="Arial Narrow" w:hAnsi="Arial Narrow" w:cs="Arial"/>
        </w:rPr>
      </w:pPr>
      <w:r>
        <w:rPr>
          <w:rFonts w:ascii="Arial Narrow" w:hAnsi="Arial Narrow" w:cs="Arial"/>
        </w:rPr>
        <w:t>A la Presidenta del Comité sobre los Derechos de las Personas con Discapacidad</w:t>
      </w:r>
    </w:p>
    <w:p w:rsidR="001871B6" w:rsidRDefault="001871B6" w:rsidP="00C04789">
      <w:pPr>
        <w:spacing w:line="240" w:lineRule="auto"/>
        <w:jc w:val="both"/>
        <w:rPr>
          <w:rFonts w:ascii="Arial Narrow" w:hAnsi="Arial Narrow" w:cs="Arial"/>
        </w:rPr>
      </w:pPr>
      <w:r>
        <w:rPr>
          <w:rFonts w:ascii="Arial Narrow" w:hAnsi="Arial Narrow" w:cs="Arial"/>
        </w:rPr>
        <w:t>Dra. María Soledad Cisternas Reyes</w:t>
      </w:r>
    </w:p>
    <w:p w:rsidR="00EB1B8B" w:rsidRPr="00EB1B8B" w:rsidRDefault="00EB1B8B" w:rsidP="00C04789">
      <w:pPr>
        <w:spacing w:line="240" w:lineRule="auto"/>
        <w:jc w:val="both"/>
        <w:rPr>
          <w:rFonts w:ascii="Arial Narrow" w:hAnsi="Arial Narrow" w:cs="Arial"/>
          <w:u w:val="single"/>
        </w:rPr>
      </w:pPr>
      <w:r w:rsidRPr="00EB1B8B">
        <w:rPr>
          <w:rFonts w:ascii="Arial Narrow" w:hAnsi="Arial Narrow" w:cs="Arial"/>
          <w:u w:val="single"/>
        </w:rPr>
        <w:t>S/D.-</w:t>
      </w:r>
    </w:p>
    <w:p w:rsidR="007646A3" w:rsidRDefault="007646A3" w:rsidP="005D40AB">
      <w:pPr>
        <w:jc w:val="both"/>
        <w:rPr>
          <w:rFonts w:ascii="Arial Narrow" w:hAnsi="Arial Narrow" w:cs="Arial"/>
        </w:rPr>
      </w:pPr>
      <w:r>
        <w:rPr>
          <w:rFonts w:ascii="Arial Narrow" w:hAnsi="Arial Narrow" w:cs="Arial"/>
        </w:rPr>
        <w:t>Por medio del presente informe</w:t>
      </w:r>
      <w:r w:rsidR="00EB1B8B">
        <w:rPr>
          <w:rFonts w:ascii="Arial Narrow" w:hAnsi="Arial Narrow" w:cs="Arial"/>
        </w:rPr>
        <w:t>,</w:t>
      </w:r>
      <w:r>
        <w:rPr>
          <w:rFonts w:ascii="Arial Narrow" w:hAnsi="Arial Narrow" w:cs="Arial"/>
        </w:rPr>
        <w:t xml:space="preserve"> elaborado</w:t>
      </w:r>
      <w:r w:rsidR="00EB1B8B">
        <w:rPr>
          <w:rFonts w:ascii="Arial Narrow" w:hAnsi="Arial Narrow" w:cs="Arial"/>
        </w:rPr>
        <w:t xml:space="preserve"> mancomunadamente entre</w:t>
      </w:r>
      <w:r w:rsidR="00FA542F">
        <w:rPr>
          <w:rFonts w:ascii="Arial Narrow" w:hAnsi="Arial Narrow" w:cs="Arial"/>
        </w:rPr>
        <w:t xml:space="preserve"> organizaciones de</w:t>
      </w:r>
      <w:r>
        <w:rPr>
          <w:rFonts w:ascii="Arial Narrow" w:hAnsi="Arial Narrow" w:cs="Arial"/>
        </w:rPr>
        <w:t xml:space="preserve"> </w:t>
      </w:r>
      <w:bookmarkStart w:id="0" w:name="_GoBack"/>
      <w:r w:rsidR="00EB1B8B">
        <w:rPr>
          <w:rFonts w:ascii="Arial Narrow" w:hAnsi="Arial Narrow" w:cs="Arial"/>
        </w:rPr>
        <w:t>organizaciones de Personas con Discapacidad</w:t>
      </w:r>
      <w:bookmarkEnd w:id="0"/>
      <w:r w:rsidR="00EB1B8B">
        <w:rPr>
          <w:rFonts w:ascii="Arial Narrow" w:hAnsi="Arial Narrow" w:cs="Arial"/>
        </w:rPr>
        <w:t xml:space="preserve"> (en adelante PCD), dirigidas por PCD; así como organizaciones transversales de derechos humanos, </w:t>
      </w:r>
      <w:r>
        <w:rPr>
          <w:rFonts w:ascii="Arial Narrow" w:hAnsi="Arial Narrow" w:cs="Arial"/>
        </w:rPr>
        <w:t xml:space="preserve">en </w:t>
      </w:r>
      <w:r w:rsidR="00EB1B8B">
        <w:rPr>
          <w:rFonts w:ascii="Arial Narrow" w:hAnsi="Arial Narrow" w:cs="Arial"/>
        </w:rPr>
        <w:t>el marco de lo dispuesto por el artículo</w:t>
      </w:r>
      <w:r>
        <w:rPr>
          <w:rFonts w:ascii="Arial Narrow" w:hAnsi="Arial Narrow" w:cs="Arial"/>
        </w:rPr>
        <w:t xml:space="preserve"> 33 inciso 3 de</w:t>
      </w:r>
      <w:r w:rsidRPr="007646A3">
        <w:rPr>
          <w:rFonts w:ascii="Arial Narrow" w:hAnsi="Arial Narrow" w:cs="Arial"/>
        </w:rPr>
        <w:t xml:space="preserve"> </w:t>
      </w:r>
      <w:r>
        <w:rPr>
          <w:rFonts w:ascii="Arial Narrow" w:hAnsi="Arial Narrow" w:cs="Arial"/>
        </w:rPr>
        <w:t>la Convención sobre los Derechos de las Personas con Discapacidad (en adelante CDPD), le hacemos llegar información en relación a las diferentes problemáticas planteadas a raíz de la implementación</w:t>
      </w:r>
      <w:r w:rsidR="00EB1B8B">
        <w:rPr>
          <w:rFonts w:ascii="Arial Narrow" w:hAnsi="Arial Narrow" w:cs="Arial"/>
        </w:rPr>
        <w:t xml:space="preserve"> de los artículos 12 y 29 de la CDPD. Ello,</w:t>
      </w:r>
      <w:r>
        <w:rPr>
          <w:rFonts w:ascii="Arial Narrow" w:hAnsi="Arial Narrow" w:cs="Arial"/>
        </w:rPr>
        <w:t xml:space="preserve"> en consideración del párrafo 56 de las Observaciones Finales al informe inicial presentado por el Estado Argentino, en virtud del cual el Comité </w:t>
      </w:r>
      <w:r w:rsidR="00EB1B8B">
        <w:rPr>
          <w:rFonts w:ascii="Arial Narrow" w:hAnsi="Arial Narrow" w:cs="Arial"/>
        </w:rPr>
        <w:t xml:space="preserve">sobre los Derechos de las Personas con Discapacidad (en adelante el Comité) </w:t>
      </w:r>
      <w:r w:rsidR="00D94206">
        <w:rPr>
          <w:rFonts w:ascii="Arial Narrow" w:hAnsi="Arial Narrow" w:cs="Arial"/>
        </w:rPr>
        <w:t>“</w:t>
      </w:r>
      <w:r w:rsidRPr="00EB1B8B">
        <w:rPr>
          <w:rFonts w:ascii="Arial Narrow" w:hAnsi="Arial Narrow" w:cs="Arial"/>
          <w:i/>
        </w:rPr>
        <w:t>solicita al Estado Argentino que le presente, en el plazo de doce meses y de conformidad con el párrafo 2 del artículo 35 de la Convención, información por escrito sobre las medidas adoptadas para aplicar las recomendaciones que figuran en los párrafos 22 y 48</w:t>
      </w:r>
      <w:r w:rsidR="00D94206">
        <w:rPr>
          <w:rFonts w:ascii="Arial Narrow" w:hAnsi="Arial Narrow" w:cs="Arial"/>
          <w:i/>
        </w:rPr>
        <w:t>”</w:t>
      </w:r>
      <w:r w:rsidRPr="007646A3">
        <w:rPr>
          <w:rFonts w:ascii="Arial Narrow" w:hAnsi="Arial Narrow" w:cs="Arial"/>
        </w:rPr>
        <w:t>.</w:t>
      </w:r>
      <w:r>
        <w:rPr>
          <w:rFonts w:ascii="Arial Narrow" w:hAnsi="Arial Narrow" w:cs="Arial"/>
        </w:rPr>
        <w:t xml:space="preserve"> </w:t>
      </w:r>
    </w:p>
    <w:p w:rsidR="00EB1B8B" w:rsidRDefault="00EB1B8B" w:rsidP="005D40AB">
      <w:pPr>
        <w:jc w:val="both"/>
        <w:rPr>
          <w:rFonts w:ascii="Arial Narrow" w:hAnsi="Arial Narrow" w:cs="Arial"/>
        </w:rPr>
      </w:pPr>
      <w:r>
        <w:rPr>
          <w:rFonts w:ascii="Arial Narrow" w:hAnsi="Arial Narrow" w:cs="Arial"/>
        </w:rPr>
        <w:t>Sin otro particular, saludamos a usted muy atentamente.</w:t>
      </w:r>
      <w:r w:rsidR="00FA542F">
        <w:rPr>
          <w:rFonts w:ascii="Arial Narrow" w:hAnsi="Arial Narrow" w:cs="Arial"/>
        </w:rPr>
        <w:t>-</w:t>
      </w:r>
    </w:p>
    <w:p w:rsidR="00EB1B8B" w:rsidRDefault="00EB1B8B" w:rsidP="005D40AB">
      <w:pPr>
        <w:jc w:val="both"/>
        <w:rPr>
          <w:rFonts w:ascii="Arial Narrow" w:hAnsi="Arial Narrow" w:cs="Arial"/>
        </w:rPr>
      </w:pPr>
    </w:p>
    <w:p w:rsidR="005D40AB" w:rsidRPr="005D40AB" w:rsidRDefault="005D40AB" w:rsidP="005D40AB">
      <w:pPr>
        <w:jc w:val="both"/>
        <w:rPr>
          <w:rFonts w:ascii="Arial Narrow" w:hAnsi="Arial Narrow" w:cs="Arial"/>
          <w:b/>
          <w:u w:val="single"/>
        </w:rPr>
      </w:pPr>
      <w:r w:rsidRPr="005D40AB">
        <w:rPr>
          <w:rFonts w:ascii="Arial Narrow" w:hAnsi="Arial Narrow" w:cs="Arial"/>
          <w:b/>
          <w:u w:val="single"/>
        </w:rPr>
        <w:t>ARTÍCULO 12: IGUAL RECONOCIMIENTO COMO PERSONA ANTE LA LEY</w:t>
      </w:r>
    </w:p>
    <w:p w:rsidR="005D40AB" w:rsidRPr="005D40AB" w:rsidRDefault="005D40AB" w:rsidP="005D40AB">
      <w:pPr>
        <w:jc w:val="both"/>
        <w:rPr>
          <w:rFonts w:ascii="Arial Narrow" w:hAnsi="Arial Narrow" w:cs="Arial"/>
        </w:rPr>
      </w:pPr>
      <w:r w:rsidRPr="005D40AB">
        <w:rPr>
          <w:rFonts w:ascii="Arial Narrow" w:hAnsi="Arial Narrow" w:cs="Arial"/>
        </w:rPr>
        <w:t>El Comit</w:t>
      </w:r>
      <w:r w:rsidR="00EB1B8B">
        <w:rPr>
          <w:rFonts w:ascii="Arial Narrow" w:hAnsi="Arial Narrow" w:cs="Arial"/>
        </w:rPr>
        <w:t xml:space="preserve">é </w:t>
      </w:r>
      <w:r w:rsidRPr="005D40AB">
        <w:rPr>
          <w:rFonts w:ascii="Arial Narrow" w:hAnsi="Arial Narrow" w:cs="Arial"/>
        </w:rPr>
        <w:t xml:space="preserve">examinó el informe inicial presentado por Argentina en virtud del artículo 35 de la </w:t>
      </w:r>
      <w:r w:rsidR="00EB1B8B">
        <w:rPr>
          <w:rFonts w:ascii="Arial Narrow" w:hAnsi="Arial Narrow" w:cs="Arial"/>
        </w:rPr>
        <w:t>CDPD</w:t>
      </w:r>
      <w:r w:rsidRPr="005D40AB">
        <w:rPr>
          <w:rFonts w:ascii="Arial Narrow" w:hAnsi="Arial Narrow" w:cs="Arial"/>
        </w:rPr>
        <w:t xml:space="preserve"> en sus sesiones 79ª y 80ª, celebradas el 19 y 20 de septiembre de 2012, y aprobó sus Observaciones Finales a dicho informe en su 91ª sesión, celebrada en septiembre de 2012. </w:t>
      </w:r>
    </w:p>
    <w:p w:rsidR="005D40AB" w:rsidRPr="005D40AB" w:rsidRDefault="005D40AB" w:rsidP="005D40AB">
      <w:pPr>
        <w:jc w:val="both"/>
        <w:rPr>
          <w:rFonts w:ascii="Arial Narrow" w:hAnsi="Arial Narrow" w:cs="Arial"/>
        </w:rPr>
      </w:pPr>
      <w:r w:rsidRPr="005D40AB">
        <w:rPr>
          <w:rFonts w:ascii="Arial Narrow" w:hAnsi="Arial Narrow" w:cs="Arial"/>
        </w:rPr>
        <w:t xml:space="preserve">En el parágrafo 22 de las Observaciones Finales, el Comité instó al Estado argentino “a que el Proyecto de Reforma y Unificación del Código Civil y Comercial </w:t>
      </w:r>
      <w:r w:rsidRPr="005D40AB">
        <w:rPr>
          <w:rFonts w:ascii="Arial Narrow" w:hAnsi="Arial Narrow" w:cs="Arial"/>
          <w:i/>
        </w:rPr>
        <w:t>elimine la figura de la interdicción judicial</w:t>
      </w:r>
      <w:r w:rsidRPr="005D40AB">
        <w:rPr>
          <w:rFonts w:ascii="Arial Narrow" w:hAnsi="Arial Narrow" w:cs="Arial"/>
        </w:rPr>
        <w:t xml:space="preserve"> y que garantice en dicho proceso de revisión la </w:t>
      </w:r>
      <w:r w:rsidRPr="005D40AB">
        <w:rPr>
          <w:rFonts w:ascii="Arial Narrow" w:hAnsi="Arial Narrow" w:cs="Arial"/>
          <w:i/>
        </w:rPr>
        <w:t>participación efectiva de las organizaciones de personas con discapacidad</w:t>
      </w:r>
      <w:r w:rsidRPr="005D40AB">
        <w:rPr>
          <w:rFonts w:ascii="Arial Narrow" w:hAnsi="Arial Narrow" w:cs="Arial"/>
          <w:b/>
        </w:rPr>
        <w:t>”</w:t>
      </w:r>
      <w:r w:rsidRPr="005D40AB">
        <w:rPr>
          <w:rFonts w:ascii="Arial Narrow" w:hAnsi="Arial Narrow" w:cs="Arial"/>
        </w:rPr>
        <w:t xml:space="preserve">. Asimismo,  solicitó al Estado “que le presente, en el plazo de doce meses y de conformidad con el párrafo 2 del artículo 35 de la </w:t>
      </w:r>
      <w:r w:rsidR="00EB1B8B">
        <w:rPr>
          <w:rFonts w:ascii="Arial Narrow" w:hAnsi="Arial Narrow" w:cs="Arial"/>
        </w:rPr>
        <w:t>CDPD</w:t>
      </w:r>
      <w:r w:rsidRPr="005D40AB">
        <w:rPr>
          <w:rFonts w:ascii="Arial Narrow" w:hAnsi="Arial Narrow" w:cs="Arial"/>
        </w:rPr>
        <w:t xml:space="preserve">, información por escrito sobre las medidas adoptadas para aplicar las recomendaciones que figuran en [el párrafo] 22”. Ese plazo se cumple el 27 de septiembre de 2013. </w:t>
      </w:r>
    </w:p>
    <w:p w:rsidR="005D40AB" w:rsidRPr="005D40AB" w:rsidRDefault="005D40AB" w:rsidP="005D40AB">
      <w:pPr>
        <w:jc w:val="both"/>
        <w:rPr>
          <w:rFonts w:ascii="Arial Narrow" w:hAnsi="Arial Narrow" w:cs="Arial"/>
          <w:b/>
          <w:u w:val="single"/>
        </w:rPr>
      </w:pPr>
      <w:r w:rsidRPr="005D40AB">
        <w:rPr>
          <w:rFonts w:ascii="Arial Narrow" w:hAnsi="Arial Narrow" w:cs="Arial"/>
          <w:b/>
          <w:u w:val="single"/>
        </w:rPr>
        <w:t>Sobre las acciones implementadas por el Estado parte para que el Proyecto de Reforma y Unificación del Código Civil y Comercial elimine la figura de la interdicción judicial</w:t>
      </w:r>
    </w:p>
    <w:p w:rsidR="005D40AB" w:rsidRPr="005D40AB" w:rsidRDefault="005D40AB" w:rsidP="005D40AB">
      <w:pPr>
        <w:jc w:val="both"/>
        <w:rPr>
          <w:rFonts w:ascii="Arial Narrow" w:hAnsi="Arial Narrow" w:cs="Arial"/>
          <w:bCs/>
          <w:iCs/>
        </w:rPr>
      </w:pPr>
      <w:r w:rsidRPr="005D40AB">
        <w:rPr>
          <w:rFonts w:ascii="Arial Narrow" w:hAnsi="Arial Narrow" w:cs="Arial"/>
          <w:bCs/>
          <w:iCs/>
        </w:rPr>
        <w:lastRenderedPageBreak/>
        <w:t xml:space="preserve">Tal como señaló el </w:t>
      </w:r>
      <w:r w:rsidRPr="005D40AB">
        <w:rPr>
          <w:rFonts w:ascii="Arial Narrow" w:hAnsi="Arial Narrow" w:cs="Arial"/>
        </w:rPr>
        <w:t>Comité</w:t>
      </w:r>
      <w:r w:rsidRPr="005D40AB">
        <w:rPr>
          <w:rFonts w:ascii="Arial Narrow" w:hAnsi="Arial Narrow" w:cs="Arial"/>
          <w:bCs/>
          <w:iCs/>
        </w:rPr>
        <w:t xml:space="preserve">, el Proyecto de Ley de Reforma, Actualización y Unificación de los Códigos Civil y Comercial de la Nación, </w:t>
      </w:r>
      <w:r w:rsidRPr="005D40AB">
        <w:rPr>
          <w:rFonts w:ascii="Arial Narrow" w:hAnsi="Arial Narrow" w:cs="Arial"/>
          <w:iCs/>
          <w:lang w:val="de-DE"/>
        </w:rPr>
        <w:t>remitido al Congreso de la Naciónel 7 de junio de 2012</w:t>
      </w:r>
      <w:r w:rsidRPr="005D40AB">
        <w:rPr>
          <w:rFonts w:ascii="Arial Narrow" w:hAnsi="Arial Narrow" w:cs="Arial"/>
          <w:bCs/>
          <w:iCs/>
        </w:rPr>
        <w:t xml:space="preserve"> mediante el Mensaje del Poder Ejecutivo Nacional N° 884/2012</w:t>
      </w:r>
      <w:r w:rsidRPr="005D40AB">
        <w:rPr>
          <w:rFonts w:ascii="Arial Narrow" w:hAnsi="Arial Narrow" w:cs="Arial"/>
          <w:iCs/>
          <w:lang w:val="de-DE"/>
        </w:rPr>
        <w:t>,</w:t>
      </w:r>
      <w:r w:rsidRPr="005D40AB">
        <w:rPr>
          <w:rFonts w:ascii="Arial Narrow" w:hAnsi="Arial Narrow" w:cs="Arial"/>
          <w:bCs/>
          <w:iCs/>
        </w:rPr>
        <w:t xml:space="preserve"> “conserva la figura de la interdicción judicial y deja a total discreción del juez la decisión de designar un curador o de determinar los apoyos necesarios para la toma de decisiones de las personas con discapacidad”, en grave violación al artículo 12 de</w:t>
      </w:r>
      <w:r w:rsidR="00D94206">
        <w:rPr>
          <w:rFonts w:ascii="Arial Narrow" w:hAnsi="Arial Narrow" w:cs="Arial"/>
          <w:bCs/>
          <w:iCs/>
        </w:rPr>
        <w:t xml:space="preserve"> la CDPD</w:t>
      </w:r>
      <w:r w:rsidRPr="005D40AB">
        <w:rPr>
          <w:rFonts w:ascii="Arial Narrow" w:hAnsi="Arial Narrow" w:cs="Arial"/>
          <w:bCs/>
          <w:iCs/>
        </w:rPr>
        <w:t>. Así, el artículo 32 del proyecto establece que:</w:t>
      </w:r>
    </w:p>
    <w:p w:rsidR="005D40AB" w:rsidRPr="005D40AB" w:rsidRDefault="005D40AB" w:rsidP="005D40AB">
      <w:pPr>
        <w:jc w:val="both"/>
        <w:rPr>
          <w:rFonts w:ascii="Arial Narrow" w:hAnsi="Arial Narrow" w:cs="Arial"/>
          <w:bCs/>
          <w:iCs/>
        </w:rPr>
      </w:pPr>
      <w:r w:rsidRPr="005D40AB">
        <w:rPr>
          <w:rFonts w:ascii="Arial Narrow" w:hAnsi="Arial Narrow" w:cs="Arial"/>
          <w:bCs/>
          <w:iCs/>
        </w:rPr>
        <w:t xml:space="preserve">“El juez puede </w:t>
      </w:r>
      <w:r w:rsidRPr="005D40AB">
        <w:rPr>
          <w:rFonts w:ascii="Arial Narrow" w:hAnsi="Arial Narrow" w:cs="Arial"/>
          <w:bCs/>
          <w:i/>
          <w:iCs/>
        </w:rPr>
        <w:t>restringir la capacidad</w:t>
      </w:r>
      <w:r w:rsidRPr="005D40AB">
        <w:rPr>
          <w:rFonts w:ascii="Arial Narrow" w:hAnsi="Arial Narrow" w:cs="Arial"/>
          <w:bCs/>
          <w:iCs/>
        </w:rPr>
        <w:t xml:space="preserve"> de una </w:t>
      </w:r>
      <w:r w:rsidRPr="005D40AB">
        <w:rPr>
          <w:rFonts w:ascii="Arial Narrow" w:hAnsi="Arial Narrow" w:cs="Arial"/>
          <w:bCs/>
          <w:i/>
          <w:iCs/>
        </w:rPr>
        <w:t>persona mayor de TRECE (13) años</w:t>
      </w:r>
      <w:r w:rsidR="00D94206">
        <w:rPr>
          <w:rFonts w:ascii="Arial Narrow" w:hAnsi="Arial Narrow" w:cs="Arial"/>
          <w:bCs/>
          <w:i/>
          <w:iCs/>
        </w:rPr>
        <w:t xml:space="preserve"> </w:t>
      </w:r>
      <w:r w:rsidRPr="005D40AB">
        <w:rPr>
          <w:rFonts w:ascii="Arial Narrow" w:hAnsi="Arial Narrow" w:cs="Arial"/>
          <w:bCs/>
          <w:i/>
          <w:iCs/>
        </w:rPr>
        <w:t>que padece</w:t>
      </w:r>
      <w:r w:rsidRPr="005D40AB">
        <w:rPr>
          <w:rFonts w:ascii="Arial Narrow" w:hAnsi="Arial Narrow" w:cs="Arial"/>
          <w:bCs/>
          <w:iCs/>
        </w:rPr>
        <w:t xml:space="preserve"> una adicción o </w:t>
      </w:r>
      <w:r w:rsidRPr="005D40AB">
        <w:rPr>
          <w:rFonts w:ascii="Arial Narrow" w:hAnsi="Arial Narrow" w:cs="Arial"/>
          <w:bCs/>
          <w:i/>
          <w:iCs/>
        </w:rPr>
        <w:t>una alteración mental permanente o prolongada</w:t>
      </w:r>
      <w:r w:rsidRPr="005D40AB">
        <w:rPr>
          <w:rFonts w:ascii="Arial Narrow" w:hAnsi="Arial Narrow" w:cs="Arial"/>
          <w:bCs/>
          <w:iCs/>
        </w:rPr>
        <w:t xml:space="preserve">, de suficiente gravedad, siempre que estime que del ejercicio de su plena capacidad puede resultar un daño a su persona o a sus bienes. </w:t>
      </w:r>
    </w:p>
    <w:p w:rsidR="005D40AB" w:rsidRPr="005D40AB" w:rsidRDefault="005D40AB" w:rsidP="005D40AB">
      <w:pPr>
        <w:jc w:val="both"/>
        <w:rPr>
          <w:rFonts w:ascii="Arial Narrow" w:hAnsi="Arial Narrow" w:cs="Arial"/>
          <w:bCs/>
          <w:iCs/>
        </w:rPr>
      </w:pPr>
      <w:r w:rsidRPr="005D40AB">
        <w:rPr>
          <w:rFonts w:ascii="Arial Narrow" w:hAnsi="Arial Narrow" w:cs="Arial"/>
          <w:bCs/>
          <w:i/>
          <w:iCs/>
        </w:rPr>
        <w:t>Cuando por causa de enfermedad mental una persona mayor de TRECE (13) años</w:t>
      </w:r>
      <w:r w:rsidRPr="005D40AB">
        <w:rPr>
          <w:rFonts w:ascii="Arial Narrow" w:hAnsi="Arial Narrow" w:cs="Arial"/>
          <w:bCs/>
          <w:iCs/>
        </w:rPr>
        <w:t xml:space="preserve"> de edad se encuentra en situación de </w:t>
      </w:r>
      <w:r w:rsidRPr="005D40AB">
        <w:rPr>
          <w:rFonts w:ascii="Arial Narrow" w:hAnsi="Arial Narrow" w:cs="Arial"/>
          <w:bCs/>
          <w:i/>
          <w:iCs/>
        </w:rPr>
        <w:t>falta absoluta de aptitud para dirigir su persona o administrar sus bienes, el juez puede declarar la incapacidad.</w:t>
      </w:r>
    </w:p>
    <w:p w:rsidR="005D40AB" w:rsidRPr="005D40AB" w:rsidRDefault="005D40AB" w:rsidP="005D40AB">
      <w:pPr>
        <w:jc w:val="both"/>
        <w:rPr>
          <w:rFonts w:ascii="Arial Narrow" w:hAnsi="Arial Narrow" w:cs="Arial"/>
          <w:bCs/>
          <w:iCs/>
        </w:rPr>
      </w:pPr>
      <w:r w:rsidRPr="005D40AB">
        <w:rPr>
          <w:rFonts w:ascii="Arial Narrow" w:hAnsi="Arial Narrow" w:cs="Arial"/>
          <w:bCs/>
          <w:iCs/>
        </w:rPr>
        <w:t xml:space="preserve">En ambos casos, según corresponda, el juez debe </w:t>
      </w:r>
      <w:r w:rsidRPr="005D40AB">
        <w:rPr>
          <w:rFonts w:ascii="Arial Narrow" w:hAnsi="Arial Narrow" w:cs="Arial"/>
          <w:bCs/>
          <w:i/>
          <w:iCs/>
        </w:rPr>
        <w:t>designar un curador o los apoyos que resulten necesarios</w:t>
      </w:r>
      <w:r w:rsidRPr="005D40AB">
        <w:rPr>
          <w:rFonts w:ascii="Arial Narrow" w:hAnsi="Arial Narrow" w:cs="Arial"/>
          <w:bCs/>
          <w:iCs/>
        </w:rPr>
        <w:t xml:space="preserve"> y fijar sus funciones”</w:t>
      </w:r>
      <w:r w:rsidRPr="005D40AB">
        <w:rPr>
          <w:rFonts w:ascii="Arial Narrow" w:hAnsi="Arial Narrow" w:cs="Arial"/>
          <w:bCs/>
          <w:iCs/>
          <w:vertAlign w:val="superscript"/>
        </w:rPr>
        <w:footnoteReference w:id="1"/>
      </w:r>
      <w:r w:rsidRPr="005D40AB">
        <w:rPr>
          <w:rFonts w:ascii="Arial Narrow" w:hAnsi="Arial Narrow" w:cs="Arial"/>
          <w:bCs/>
          <w:iCs/>
        </w:rPr>
        <w:t xml:space="preserve">. </w:t>
      </w:r>
    </w:p>
    <w:p w:rsidR="005D40AB" w:rsidRPr="005D40AB" w:rsidRDefault="005D40AB" w:rsidP="005D40AB">
      <w:pPr>
        <w:jc w:val="both"/>
        <w:rPr>
          <w:rFonts w:ascii="Arial Narrow" w:hAnsi="Arial Narrow" w:cs="Arial"/>
        </w:rPr>
      </w:pPr>
      <w:r w:rsidRPr="005D40AB">
        <w:rPr>
          <w:rFonts w:ascii="Arial Narrow" w:hAnsi="Arial Narrow" w:cs="Arial"/>
        </w:rPr>
        <w:t>La Comisión Bicameral para la Reforma, Actualización y Unificación de los Códigos Civil y Comercial de la Nación, creada el 4 de julio de 2012, es el órgano encargado del “análisis del proyecto de Código Civil y Comercial de la Nación (...); la redacción del proyecto de ley correspondiente y la elaboración del despacho previo a su tratamiento legislativo”</w:t>
      </w:r>
      <w:r w:rsidRPr="005D40AB">
        <w:rPr>
          <w:rFonts w:ascii="Arial Narrow" w:hAnsi="Arial Narrow" w:cs="Arial"/>
          <w:vertAlign w:val="superscript"/>
        </w:rPr>
        <w:footnoteReference w:id="2"/>
      </w:r>
      <w:r w:rsidRPr="005D40AB">
        <w:rPr>
          <w:rFonts w:ascii="Arial Narrow" w:hAnsi="Arial Narrow" w:cs="Arial"/>
        </w:rPr>
        <w:t>.</w:t>
      </w:r>
    </w:p>
    <w:p w:rsidR="005D40AB" w:rsidRPr="005D40AB" w:rsidRDefault="005D40AB" w:rsidP="005D40AB">
      <w:pPr>
        <w:jc w:val="both"/>
        <w:rPr>
          <w:rFonts w:ascii="Arial Narrow" w:hAnsi="Arial Narrow" w:cs="Arial"/>
        </w:rPr>
      </w:pPr>
      <w:r w:rsidRPr="005D40AB">
        <w:rPr>
          <w:rFonts w:ascii="Arial Narrow" w:hAnsi="Arial Narrow" w:cs="Arial"/>
        </w:rPr>
        <w:t>En los registros públicos que contienen información sobre las acciones desarrolladas y las audiencias celebradas por los miembros de la Comisión para analizar el contenido del proyecto</w:t>
      </w:r>
      <w:r w:rsidRPr="005D40AB">
        <w:rPr>
          <w:rFonts w:ascii="Arial Narrow" w:hAnsi="Arial Narrow" w:cs="Arial"/>
          <w:vertAlign w:val="superscript"/>
        </w:rPr>
        <w:footnoteReference w:id="3"/>
      </w:r>
      <w:r w:rsidRPr="005D40AB">
        <w:rPr>
          <w:rFonts w:ascii="Arial Narrow" w:hAnsi="Arial Narrow" w:cs="Arial"/>
        </w:rPr>
        <w:t xml:space="preserve">, no existen evidencias de que los miembros de la Comisión Bicameral hayan debatido el contenido y alcance de las disposiciones vinculadas a la capacidad jurídica de las personas con discapacidad y se hayan propuestos cambios a esta regulación de modo tal de eliminar la figura de la interdicción judicial. </w:t>
      </w:r>
    </w:p>
    <w:p w:rsidR="005D40AB" w:rsidRPr="005D40AB" w:rsidRDefault="005D40AB" w:rsidP="005D40AB">
      <w:pPr>
        <w:jc w:val="both"/>
        <w:rPr>
          <w:rFonts w:ascii="Arial Narrow" w:hAnsi="Arial Narrow" w:cs="Arial"/>
        </w:rPr>
      </w:pPr>
      <w:r w:rsidRPr="005D40AB">
        <w:rPr>
          <w:rFonts w:ascii="Arial Narrow" w:hAnsi="Arial Narrow" w:cs="Arial"/>
        </w:rPr>
        <w:t xml:space="preserve">Con excepción de las audiencias públicas en las que representantes de diversas organizaciones de la sociedad civil presentaron sus objeciones al proyecto y propuestas de modificación del régimen de capacidad jurídica, las únicas referencias sustanciales a este régimen las realizaron el </w:t>
      </w:r>
      <w:r w:rsidRPr="005D40AB">
        <w:rPr>
          <w:rFonts w:ascii="Arial Narrow" w:hAnsi="Arial Narrow" w:cs="Arial"/>
          <w:iCs/>
          <w:lang w:val="de-DE"/>
        </w:rPr>
        <w:t xml:space="preserve">Presidente de la </w:t>
      </w:r>
      <w:r w:rsidRPr="005D40AB">
        <w:rPr>
          <w:rFonts w:ascii="Arial Narrow" w:hAnsi="Arial Narrow" w:cs="Arial"/>
          <w:bCs/>
          <w:iCs/>
        </w:rPr>
        <w:t xml:space="preserve">Comisión para la Elaboración del Proyecto de Ley de Reforma, Actualización y Unificación de los Códigos Civil y Comercial de la Nación, doctor Ricardo Luis </w:t>
      </w:r>
      <w:proofErr w:type="spellStart"/>
      <w:r w:rsidRPr="005D40AB">
        <w:rPr>
          <w:rFonts w:ascii="Arial Narrow" w:hAnsi="Arial Narrow" w:cs="Arial"/>
          <w:bCs/>
          <w:iCs/>
        </w:rPr>
        <w:t>Lorenzetti</w:t>
      </w:r>
      <w:proofErr w:type="spellEnd"/>
      <w:r w:rsidRPr="005D40AB">
        <w:rPr>
          <w:rFonts w:ascii="Arial Narrow" w:hAnsi="Arial Narrow" w:cs="Arial"/>
          <w:bCs/>
          <w:iCs/>
        </w:rPr>
        <w:t xml:space="preserve">, </w:t>
      </w:r>
      <w:r w:rsidRPr="005D40AB">
        <w:rPr>
          <w:rFonts w:ascii="Arial Narrow" w:hAnsi="Arial Narrow" w:cs="Arial"/>
        </w:rPr>
        <w:t xml:space="preserve">en una audiencia celebrada el martes 14 de agosto de 2012; y el Ministro de Justicia y Derechos Humanos de la Nación, Julio </w:t>
      </w:r>
      <w:proofErr w:type="spellStart"/>
      <w:r w:rsidRPr="005D40AB">
        <w:rPr>
          <w:rFonts w:ascii="Arial Narrow" w:hAnsi="Arial Narrow" w:cs="Arial"/>
        </w:rPr>
        <w:t>Alak</w:t>
      </w:r>
      <w:proofErr w:type="spellEnd"/>
      <w:r w:rsidRPr="005D40AB">
        <w:rPr>
          <w:rFonts w:ascii="Arial Narrow" w:hAnsi="Arial Narrow" w:cs="Arial"/>
        </w:rPr>
        <w:t>, en una audiencia celebrada el martes 21 de agosto de 2012.</w:t>
      </w:r>
    </w:p>
    <w:p w:rsidR="005D40AB" w:rsidRPr="005D40AB" w:rsidRDefault="005D40AB" w:rsidP="005D40AB">
      <w:pPr>
        <w:jc w:val="both"/>
        <w:rPr>
          <w:rFonts w:ascii="Arial Narrow" w:hAnsi="Arial Narrow" w:cs="Arial"/>
        </w:rPr>
      </w:pPr>
      <w:r w:rsidRPr="005D40AB">
        <w:rPr>
          <w:rFonts w:ascii="Arial Narrow" w:hAnsi="Arial Narrow" w:cs="Arial"/>
        </w:rPr>
        <w:t xml:space="preserve">El doctor </w:t>
      </w:r>
      <w:proofErr w:type="spellStart"/>
      <w:r w:rsidRPr="005D40AB">
        <w:rPr>
          <w:rFonts w:ascii="Arial Narrow" w:hAnsi="Arial Narrow" w:cs="Arial"/>
        </w:rPr>
        <w:t>Lorenzetti</w:t>
      </w:r>
      <w:proofErr w:type="spellEnd"/>
      <w:r w:rsidRPr="005D40AB">
        <w:rPr>
          <w:rFonts w:ascii="Arial Narrow" w:hAnsi="Arial Narrow" w:cs="Arial"/>
        </w:rPr>
        <w:t xml:space="preserve"> defendió la regulación de la capacidad jurídica contenida en el proyecto, al señalar: </w:t>
      </w:r>
    </w:p>
    <w:p w:rsidR="005D40AB" w:rsidRPr="005D40AB" w:rsidRDefault="005D40AB" w:rsidP="005D40AB">
      <w:pPr>
        <w:ind w:left="284" w:right="333"/>
        <w:jc w:val="both"/>
        <w:rPr>
          <w:rFonts w:ascii="Arial Narrow" w:hAnsi="Arial Narrow" w:cs="Arial"/>
          <w:i/>
        </w:rPr>
      </w:pPr>
      <w:r w:rsidRPr="005D40AB">
        <w:rPr>
          <w:rFonts w:ascii="Arial Narrow" w:hAnsi="Arial Narrow" w:cs="Arial"/>
          <w:i/>
        </w:rPr>
        <w:lastRenderedPageBreak/>
        <w:t>“Otro aspecto vinculado a la persona que me parece de gran importancia es invertir la idea de incapacidad, porque en nuestra historia (...) la persona incapaz es segregada y excluida; se trata de un sello que se le pone a alguien para excluirlo de la sociedad (...). Nosotros hemos invertido la idea y hemos dicho que hay que presumir que la persona es capaz y quien quiera probar lo contrario tendrá que argumentar en ese sentido (...). [E]</w:t>
      </w:r>
      <w:proofErr w:type="spellStart"/>
      <w:r w:rsidRPr="005D40AB">
        <w:rPr>
          <w:rFonts w:ascii="Arial Narrow" w:hAnsi="Arial Narrow" w:cs="Arial"/>
          <w:i/>
        </w:rPr>
        <w:t>sto</w:t>
      </w:r>
      <w:proofErr w:type="spellEnd"/>
      <w:r w:rsidRPr="005D40AB">
        <w:rPr>
          <w:rFonts w:ascii="Arial Narrow" w:hAnsi="Arial Narrow" w:cs="Arial"/>
          <w:i/>
        </w:rPr>
        <w:t xml:space="preserve"> está en la capacidad como regla en los artículos 22 y 31 (...). Se presume la capacidad. Esto que parece tan obvio, no lo es en las prácticas sociales. Tenemos muchos problemas en los cuales las personas son limitadas en sus derechos por una aplicación distorsionada de este concepto. Siempre que hay un incapaz se le designa un curador y pierde sus derechos, se los disminuye. Entonces, este es un cambio muy importante a favor de la libertad de todas las personas. </w:t>
      </w:r>
    </w:p>
    <w:p w:rsidR="005D40AB" w:rsidRPr="005D40AB" w:rsidRDefault="005D40AB" w:rsidP="005D40AB">
      <w:pPr>
        <w:ind w:left="284" w:right="333"/>
        <w:jc w:val="both"/>
        <w:rPr>
          <w:rFonts w:ascii="Arial Narrow" w:hAnsi="Arial Narrow" w:cs="Arial"/>
          <w:i/>
        </w:rPr>
      </w:pPr>
      <w:r w:rsidRPr="005D40AB">
        <w:rPr>
          <w:rFonts w:ascii="Arial Narrow" w:hAnsi="Arial Narrow" w:cs="Arial"/>
          <w:i/>
        </w:rPr>
        <w:t xml:space="preserve">Hoy hablábamos de capacidad y de capacidad restringida, no hablamos de una incapacidad como regla. </w:t>
      </w:r>
      <w:r w:rsidRPr="005D40AB">
        <w:rPr>
          <w:rFonts w:ascii="Arial Narrow" w:hAnsi="Arial Narrow" w:cs="Arial"/>
          <w:b/>
          <w:i/>
        </w:rPr>
        <w:t xml:space="preserve">Hay algunos casos en los cuales hay incapacidad y no se puede hablar de otra cosa que no sea la incapacidad, cuando la hay es absoluta. </w:t>
      </w:r>
      <w:r w:rsidRPr="005D40AB">
        <w:rPr>
          <w:rFonts w:ascii="Arial Narrow" w:hAnsi="Arial Narrow" w:cs="Arial"/>
          <w:i/>
        </w:rPr>
        <w:t>Pero la regla es proteger la libertad (...). También me gustaría mencionar que en refuerzo de la capacidad se han previsto las denominadas “medidas de apoyo” en el artículo 43. Todo eso va a favorecer la plenitud en el desarrollo de la capacidad de las personas”</w:t>
      </w:r>
      <w:r w:rsidRPr="005D40AB">
        <w:rPr>
          <w:rFonts w:ascii="Arial Narrow" w:hAnsi="Arial Narrow" w:cs="Arial"/>
          <w:i/>
          <w:vertAlign w:val="superscript"/>
        </w:rPr>
        <w:footnoteReference w:id="4"/>
      </w:r>
      <w:r w:rsidRPr="005D40AB">
        <w:rPr>
          <w:rFonts w:ascii="Arial Narrow" w:hAnsi="Arial Narrow" w:cs="Arial"/>
          <w:i/>
        </w:rPr>
        <w:t>.</w:t>
      </w:r>
    </w:p>
    <w:p w:rsidR="005D40AB" w:rsidRPr="005D40AB" w:rsidRDefault="005D40AB" w:rsidP="005D40AB">
      <w:pPr>
        <w:jc w:val="both"/>
        <w:rPr>
          <w:rFonts w:ascii="Arial Narrow" w:hAnsi="Arial Narrow" w:cs="Arial"/>
        </w:rPr>
      </w:pPr>
      <w:r w:rsidRPr="005D40AB">
        <w:rPr>
          <w:rFonts w:ascii="Arial Narrow" w:hAnsi="Arial Narrow" w:cs="Arial"/>
        </w:rPr>
        <w:t xml:space="preserve">En el mismo sentido, el Ministro de Justicia y Derechos Humanos de la Nación sostuvo: </w:t>
      </w:r>
    </w:p>
    <w:p w:rsidR="005D40AB" w:rsidRPr="005D40AB" w:rsidRDefault="005D40AB" w:rsidP="005D40AB">
      <w:pPr>
        <w:ind w:left="284" w:right="333"/>
        <w:jc w:val="both"/>
        <w:rPr>
          <w:rFonts w:ascii="Arial Narrow" w:hAnsi="Arial Narrow" w:cs="Arial"/>
          <w:i/>
        </w:rPr>
      </w:pPr>
      <w:r w:rsidRPr="005D40AB">
        <w:rPr>
          <w:rFonts w:ascii="Arial Narrow" w:hAnsi="Arial Narrow" w:cs="Arial"/>
          <w:i/>
        </w:rPr>
        <w:t xml:space="preserve">“También se han propuesto modificaciones, no en el Título Preliminar, sino en la Parte General, en Capacidad (...). En ese sentido, el doctor </w:t>
      </w:r>
      <w:proofErr w:type="spellStart"/>
      <w:r w:rsidRPr="005D40AB">
        <w:rPr>
          <w:rFonts w:ascii="Arial Narrow" w:hAnsi="Arial Narrow" w:cs="Arial"/>
          <w:i/>
        </w:rPr>
        <w:t>Lorenzetti</w:t>
      </w:r>
      <w:proofErr w:type="spellEnd"/>
      <w:r w:rsidRPr="005D40AB">
        <w:rPr>
          <w:rFonts w:ascii="Arial Narrow" w:hAnsi="Arial Narrow" w:cs="Arial"/>
          <w:i/>
        </w:rPr>
        <w:t xml:space="preserve"> ha hecho un elogio importante de la modificación que se propuso del Poder Ejecutivo en cuanto a que la capacidad siempre se presume ante la incapacidad, y que </w:t>
      </w:r>
      <w:r w:rsidRPr="005D40AB">
        <w:rPr>
          <w:rFonts w:ascii="Arial Narrow" w:hAnsi="Arial Narrow" w:cs="Arial"/>
          <w:b/>
          <w:i/>
        </w:rPr>
        <w:t>el concepto que incorporó el Ministerio de Justicia y Derechos Humanos ha sido el de la Convención Internacional sobre Discapacidad, que es capacidad restringida como norma, y que la incapacidad funciona como excepción</w:t>
      </w:r>
      <w:r w:rsidRPr="005D40AB">
        <w:rPr>
          <w:rFonts w:ascii="Arial Narrow" w:hAnsi="Arial Narrow" w:cs="Arial"/>
          <w:i/>
        </w:rPr>
        <w:t xml:space="preserve"> (...). Hay una idea o una voluntad de incorporar los preceptos de la Convención Internacional que fueron receptados positivamente por este Parlamento, más una serie de modificaciones que sostienen la modificación hecha, que van a favor de la autonomía de las personas con capacidades restringidas</w:t>
      </w:r>
      <w:r w:rsidRPr="005D40AB">
        <w:rPr>
          <w:rFonts w:ascii="Arial Narrow" w:hAnsi="Arial Narrow" w:cs="Arial"/>
          <w:i/>
          <w:vertAlign w:val="superscript"/>
        </w:rPr>
        <w:footnoteReference w:id="5"/>
      </w:r>
      <w:r w:rsidRPr="005D40AB">
        <w:rPr>
          <w:rFonts w:ascii="Arial Narrow" w:hAnsi="Arial Narrow" w:cs="Arial"/>
          <w:i/>
        </w:rPr>
        <w:t>.</w:t>
      </w:r>
    </w:p>
    <w:p w:rsidR="005D40AB" w:rsidRPr="005D40AB" w:rsidRDefault="005D40AB" w:rsidP="005D40AB">
      <w:pPr>
        <w:jc w:val="both"/>
        <w:rPr>
          <w:rFonts w:ascii="Arial Narrow" w:hAnsi="Arial Narrow" w:cs="Arial"/>
          <w:iCs/>
        </w:rPr>
      </w:pPr>
      <w:r w:rsidRPr="005D40AB">
        <w:rPr>
          <w:rFonts w:ascii="Arial Narrow" w:hAnsi="Arial Narrow" w:cs="Arial"/>
        </w:rPr>
        <w:t>Como se desprende de las citas, si bien los redactores del proyecto y los representantes del Poder</w:t>
      </w:r>
      <w:r w:rsidR="00D94206">
        <w:rPr>
          <w:rFonts w:ascii="Arial Narrow" w:hAnsi="Arial Narrow" w:cs="Arial"/>
        </w:rPr>
        <w:t xml:space="preserve"> </w:t>
      </w:r>
      <w:r w:rsidRPr="005D40AB">
        <w:rPr>
          <w:rFonts w:ascii="Arial Narrow" w:hAnsi="Arial Narrow" w:cs="Arial"/>
        </w:rPr>
        <w:t>Ejecutivo involucrados reconocen la necesidad de que la legislación respete y promueva los derechos consagrados en la CDPD</w:t>
      </w:r>
      <w:r w:rsidRPr="005D40AB">
        <w:rPr>
          <w:rFonts w:ascii="Arial Narrow" w:hAnsi="Arial Narrow" w:cs="Arial"/>
          <w:vertAlign w:val="superscript"/>
        </w:rPr>
        <w:footnoteReference w:id="6"/>
      </w:r>
      <w:r w:rsidR="00D94206">
        <w:rPr>
          <w:rFonts w:ascii="Arial Narrow" w:hAnsi="Arial Narrow" w:cs="Arial"/>
        </w:rPr>
        <w:t xml:space="preserve"> </w:t>
      </w:r>
      <w:r w:rsidRPr="005D40AB">
        <w:rPr>
          <w:rFonts w:ascii="Arial Narrow" w:hAnsi="Arial Narrow" w:cs="Arial"/>
        </w:rPr>
        <w:t xml:space="preserve">y, en consecuencia, </w:t>
      </w:r>
      <w:r w:rsidRPr="005D40AB">
        <w:rPr>
          <w:rFonts w:ascii="Arial Narrow" w:hAnsi="Arial Narrow" w:cs="Arial"/>
          <w:bCs/>
          <w:iCs/>
        </w:rPr>
        <w:t>e</w:t>
      </w:r>
      <w:r w:rsidRPr="005D40AB">
        <w:rPr>
          <w:rFonts w:ascii="Arial Narrow" w:hAnsi="Arial Narrow" w:cs="Arial"/>
          <w:iCs/>
        </w:rPr>
        <w:t>stablezca la presunción de capacidad de toda persona, aun cuando se encuentra internada;</w:t>
      </w:r>
      <w:r w:rsidRPr="005D40AB">
        <w:rPr>
          <w:rFonts w:ascii="Arial Narrow" w:hAnsi="Arial Narrow" w:cs="Arial"/>
          <w:iCs/>
          <w:vertAlign w:val="superscript"/>
        </w:rPr>
        <w:footnoteReference w:id="7"/>
      </w:r>
      <w:r w:rsidR="00D94206">
        <w:rPr>
          <w:rFonts w:ascii="Arial Narrow" w:hAnsi="Arial Narrow" w:cs="Arial"/>
          <w:iCs/>
        </w:rPr>
        <w:t xml:space="preserve"> </w:t>
      </w:r>
      <w:r w:rsidRPr="005D40AB">
        <w:rPr>
          <w:rFonts w:ascii="Arial Narrow" w:hAnsi="Arial Narrow" w:cs="Arial"/>
          <w:bCs/>
          <w:iCs/>
        </w:rPr>
        <w:t>prevea la posibilidad de medidas</w:t>
      </w:r>
      <w:r w:rsidR="00D94206">
        <w:rPr>
          <w:rFonts w:ascii="Arial Narrow" w:hAnsi="Arial Narrow" w:cs="Arial"/>
          <w:bCs/>
          <w:iCs/>
        </w:rPr>
        <w:t xml:space="preserve"> </w:t>
      </w:r>
      <w:r w:rsidRPr="005D40AB">
        <w:rPr>
          <w:rFonts w:ascii="Arial Narrow" w:hAnsi="Arial Narrow" w:cs="Arial"/>
          <w:bCs/>
          <w:iCs/>
        </w:rPr>
        <w:t>de apoyo al ejercicio de la capacidad jurídica</w:t>
      </w:r>
      <w:r w:rsidRPr="005D40AB">
        <w:rPr>
          <w:rFonts w:ascii="Arial Narrow" w:hAnsi="Arial Narrow" w:cs="Arial"/>
          <w:bCs/>
          <w:iCs/>
          <w:vertAlign w:val="superscript"/>
        </w:rPr>
        <w:footnoteReference w:id="8"/>
      </w:r>
      <w:r w:rsidRPr="005D40AB">
        <w:rPr>
          <w:rFonts w:ascii="Arial Narrow" w:hAnsi="Arial Narrow" w:cs="Arial"/>
          <w:bCs/>
          <w:iCs/>
        </w:rPr>
        <w:t>; y determine que las l</w:t>
      </w:r>
      <w:r w:rsidRPr="005D40AB">
        <w:rPr>
          <w:rFonts w:ascii="Arial Narrow" w:hAnsi="Arial Narrow" w:cs="Arial"/>
          <w:iCs/>
        </w:rPr>
        <w:t>imitaciones a la capacidad de carácter excepcional “siempre en beneficio de la persona</w:t>
      </w:r>
      <w:r w:rsidRPr="005D40AB">
        <w:rPr>
          <w:rFonts w:ascii="Arial Narrow" w:hAnsi="Arial Narrow" w:cs="Arial"/>
          <w:i/>
          <w:iCs/>
        </w:rPr>
        <w:t>”</w:t>
      </w:r>
      <w:r w:rsidRPr="005D40AB">
        <w:rPr>
          <w:rFonts w:ascii="Arial Narrow" w:hAnsi="Arial Narrow" w:cs="Arial"/>
          <w:iCs/>
          <w:vertAlign w:val="superscript"/>
        </w:rPr>
        <w:footnoteReference w:id="9"/>
      </w:r>
      <w:r w:rsidRPr="005D40AB">
        <w:rPr>
          <w:rFonts w:ascii="Arial Narrow" w:hAnsi="Arial Narrow" w:cs="Arial"/>
          <w:i/>
          <w:iCs/>
        </w:rPr>
        <w:t xml:space="preserve">, </w:t>
      </w:r>
      <w:r w:rsidRPr="005D40AB">
        <w:rPr>
          <w:rFonts w:ascii="Arial Narrow" w:hAnsi="Arial Narrow" w:cs="Arial"/>
          <w:iCs/>
        </w:rPr>
        <w:lastRenderedPageBreak/>
        <w:t>al mismo tiempo justifican la subsistencia de un régimen de incapacitación y sustitución de la voluntad “por causa de enfermedad mental una persona mayor de TRECE (13) años de edad se encuentra en situación de falta absoluta de aptitud para dirigir su persona o administrar sus bienes” y consideran que esta regulación respeta el artículo 12 de la CDPD, artículo que, según su interpretación, establece la “capacidad restringida como norma, y que la incapacidad funciona como excepción”.</w:t>
      </w:r>
    </w:p>
    <w:p w:rsidR="005D40AB" w:rsidRPr="005D40AB" w:rsidRDefault="005D40AB" w:rsidP="005D40AB">
      <w:pPr>
        <w:jc w:val="both"/>
        <w:rPr>
          <w:rFonts w:ascii="Arial Narrow" w:hAnsi="Arial Narrow" w:cs="Arial"/>
          <w:iCs/>
        </w:rPr>
      </w:pPr>
      <w:r w:rsidRPr="005D40AB">
        <w:rPr>
          <w:rFonts w:ascii="Arial Narrow" w:hAnsi="Arial Narrow" w:cs="Arial"/>
          <w:iCs/>
        </w:rPr>
        <w:t xml:space="preserve">En otras palabras, más allá de las declaraciones efectuadas, el proyecto de ley no sólo contempla la figura de la incapacidad (en contradicción al texto convencional y a la disposición del Comité) sino que además la mantiene con el mismo grado de amplitud del Código actual. Es decir, nada impide que, luego de que se apruebe el nuevo Código, un/a juez/a civil siga considerando arbitrariamente que, a su criterio, una persona presenta “falta absoluta de aptitud” y, por ende, la declare incapaz y la someta al régimen de curatela. La enunciación de un principio general de capacidad o la inclusión (en forma totalmente </w:t>
      </w:r>
      <w:proofErr w:type="spellStart"/>
      <w:r w:rsidRPr="005D40AB">
        <w:rPr>
          <w:rFonts w:ascii="Arial Narrow" w:hAnsi="Arial Narrow" w:cs="Arial"/>
          <w:iCs/>
        </w:rPr>
        <w:t>inórganica</w:t>
      </w:r>
      <w:proofErr w:type="spellEnd"/>
      <w:r w:rsidRPr="005D40AB">
        <w:rPr>
          <w:rFonts w:ascii="Arial Narrow" w:hAnsi="Arial Narrow" w:cs="Arial"/>
          <w:iCs/>
        </w:rPr>
        <w:t xml:space="preserve"> y asistemática) del artículo 43 (referido a medidas de apoyo) no implican cumplimentar con la CDPD ni con el mandato del Comité. Se trata, entonces, de una modificación que nada cambia en lo sustancial la situación actual de las personas con discapacidad que habitan en Argentina.</w:t>
      </w:r>
    </w:p>
    <w:p w:rsidR="005D40AB" w:rsidRPr="005D40AB" w:rsidRDefault="005D40AB" w:rsidP="005D40AB">
      <w:pPr>
        <w:jc w:val="both"/>
        <w:rPr>
          <w:rFonts w:ascii="Arial Narrow" w:hAnsi="Arial Narrow" w:cs="Arial"/>
          <w:iCs/>
        </w:rPr>
      </w:pPr>
      <w:r w:rsidRPr="005D40AB">
        <w:rPr>
          <w:rFonts w:ascii="Arial Narrow" w:hAnsi="Arial Narrow" w:cs="Arial"/>
          <w:iCs/>
        </w:rPr>
        <w:t xml:space="preserve">Como vimos, no existe ningún indicio formal o informal de que la Comisión Bicameral (o la Comisión redactora) sean permeables a este argumento y vayan a modificar el proyecto en el sentido referido. </w:t>
      </w:r>
      <w:r w:rsidRPr="005D40AB">
        <w:rPr>
          <w:rFonts w:ascii="Arial Narrow" w:hAnsi="Arial Narrow" w:cs="Arial"/>
        </w:rPr>
        <w:t>La última reunión de la Comisión se celebró el 21 de marzo de 2013. En esa oportunidad, la Presidenta de la Comisión señaló que se estaba redactando un dictamen de comisión (i.e. despacho previo para el tratamiento legislativo del proyecto) junto con el Ministerio de Justicia de la Nación y que se planeaba presentar “una propuesta de dictamen” a finales del mes de abril de este año</w:t>
      </w:r>
      <w:r w:rsidRPr="005D40AB">
        <w:rPr>
          <w:rFonts w:ascii="Arial Narrow" w:hAnsi="Arial Narrow" w:cs="Arial"/>
          <w:vertAlign w:val="superscript"/>
        </w:rPr>
        <w:footnoteReference w:id="10"/>
      </w:r>
      <w:r w:rsidRPr="005D40AB">
        <w:rPr>
          <w:rFonts w:ascii="Arial Narrow" w:hAnsi="Arial Narrow" w:cs="Arial"/>
        </w:rPr>
        <w:t xml:space="preserve">.  A través de ese dictamen, el Estado estaba en condiciones de modificar el régimen legal de capacidad jurídica de las personas con discapacidad contenido en el </w:t>
      </w:r>
      <w:r w:rsidRPr="005D40AB">
        <w:rPr>
          <w:rFonts w:ascii="Arial Narrow" w:hAnsi="Arial Narrow" w:cs="Arial"/>
          <w:bCs/>
          <w:iCs/>
        </w:rPr>
        <w:t xml:space="preserve">Proyecto de Ley de Reforma, Actualización y Unificación de los Códigos Civil y Comercial de la Nación y cumplir con el mandato del Comité de que elimine la figura de la interdicción judicial. </w:t>
      </w:r>
      <w:r w:rsidRPr="005D40AB">
        <w:rPr>
          <w:rFonts w:ascii="Arial Narrow" w:hAnsi="Arial Narrow" w:cs="Arial"/>
        </w:rPr>
        <w:t xml:space="preserve">No obstante, esa propuesta no fue presentada y, hasta la fecha de redacción de este informe, la Comisión no volvió a reunirse. </w:t>
      </w:r>
    </w:p>
    <w:p w:rsidR="005D40AB" w:rsidRPr="005D40AB" w:rsidRDefault="005D40AB" w:rsidP="005D40AB">
      <w:pPr>
        <w:jc w:val="both"/>
        <w:rPr>
          <w:rFonts w:ascii="Arial Narrow" w:hAnsi="Arial Narrow" w:cs="Arial"/>
          <w:b/>
          <w:u w:val="single"/>
        </w:rPr>
      </w:pPr>
      <w:r w:rsidRPr="005D40AB">
        <w:rPr>
          <w:rFonts w:ascii="Arial Narrow" w:hAnsi="Arial Narrow" w:cs="Arial"/>
          <w:b/>
          <w:u w:val="single"/>
        </w:rPr>
        <w:t>Sobre las acciones implementadas por el Estado parte para garantizar la participación efectiva de las organizaciones de personas con discapacidad en el proceso de revisión Proyecto de Reforma y Unificación del Código Civil y Comercial a fin de que se elimine la figura de la interdicción judicial</w:t>
      </w:r>
    </w:p>
    <w:p w:rsidR="005D40AB" w:rsidRPr="005D40AB" w:rsidRDefault="005D40AB" w:rsidP="005D40AB">
      <w:pPr>
        <w:jc w:val="both"/>
        <w:rPr>
          <w:rFonts w:ascii="Arial Narrow" w:hAnsi="Arial Narrow" w:cs="Arial"/>
          <w:iCs/>
        </w:rPr>
      </w:pPr>
      <w:r w:rsidRPr="005D40AB">
        <w:rPr>
          <w:rFonts w:ascii="Arial Narrow" w:hAnsi="Arial Narrow" w:cs="Arial"/>
          <w:iCs/>
        </w:rPr>
        <w:t>La Comisión Bicameral para la Reforma, Actualización y Unificación de los Códigos Civil y Comercial de la Nación celebró 21 audiencias públicas en 14 ciudades de todo el país, en las que todo individuo que invocara “un derecho subjetivo o un interés legítimo o difuso”</w:t>
      </w:r>
      <w:r w:rsidRPr="005D40AB">
        <w:rPr>
          <w:rFonts w:ascii="Arial Narrow" w:hAnsi="Arial Narrow" w:cs="Arial"/>
          <w:iCs/>
          <w:vertAlign w:val="superscript"/>
        </w:rPr>
        <w:footnoteReference w:id="11"/>
      </w:r>
      <w:r w:rsidRPr="005D40AB">
        <w:rPr>
          <w:rFonts w:ascii="Arial Narrow" w:hAnsi="Arial Narrow" w:cs="Arial"/>
          <w:iCs/>
        </w:rPr>
        <w:t xml:space="preserve">, las organizaciones no gubernamentales y los organismos o autoridades públicas nacionales, provinciales o municipales podían presentar una ponencia con comentarios, objeciones y/o propuestas de modificación al texto del </w:t>
      </w:r>
      <w:r w:rsidRPr="005D40AB">
        <w:rPr>
          <w:rFonts w:ascii="Arial Narrow" w:hAnsi="Arial Narrow" w:cs="Arial"/>
          <w:bCs/>
          <w:iCs/>
        </w:rPr>
        <w:t>proyecto</w:t>
      </w:r>
      <w:r w:rsidRPr="005D40AB">
        <w:rPr>
          <w:rFonts w:ascii="Arial Narrow" w:hAnsi="Arial Narrow" w:cs="Arial"/>
          <w:iCs/>
        </w:rPr>
        <w:t>. En las audiencias debían estar presentes, al menos, tres senadores y tres diputados miembros de la Comisión Bicameral. Asimismo, durante las audiencias no se adoptaba ninguna resolución, pero sus conclusiones eran transmitidas a la Comisión Bicameral y puestas a disposición de todos los miembros de la Cámara de Diputados y del Senado de la Nación</w:t>
      </w:r>
      <w:r w:rsidRPr="005D40AB">
        <w:rPr>
          <w:rFonts w:ascii="Arial Narrow" w:hAnsi="Arial Narrow" w:cs="Arial"/>
          <w:iCs/>
          <w:vertAlign w:val="superscript"/>
        </w:rPr>
        <w:footnoteReference w:id="12"/>
      </w:r>
      <w:r w:rsidRPr="005D40AB">
        <w:rPr>
          <w:rFonts w:ascii="Arial Narrow" w:hAnsi="Arial Narrow" w:cs="Arial"/>
          <w:iCs/>
        </w:rPr>
        <w:t>.</w:t>
      </w:r>
    </w:p>
    <w:p w:rsidR="005D40AB" w:rsidRPr="005D40AB" w:rsidRDefault="005D40AB" w:rsidP="005D40AB">
      <w:pPr>
        <w:jc w:val="both"/>
        <w:rPr>
          <w:rFonts w:ascii="Arial Narrow" w:hAnsi="Arial Narrow" w:cs="Arial"/>
          <w:iCs/>
        </w:rPr>
      </w:pPr>
      <w:r w:rsidRPr="005D40AB">
        <w:rPr>
          <w:rFonts w:ascii="Arial Narrow" w:hAnsi="Arial Narrow" w:cs="Arial"/>
          <w:iCs/>
        </w:rPr>
        <w:lastRenderedPageBreak/>
        <w:t xml:space="preserve">Las siguientes personas y organizaciones presentaron ponencias con observaciones y propuestas de modificación a las disposiciones del proyecto vinculadas a la regulación de la capacidad jurídica: </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Asesoría General Tutelar- Ministerio Público Tutelar- Poder Judicial de la Ciudad Autónoma de Buenos Aires</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Asociación Azul por la Vida Independiente de las Personas con Discapacidad</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 xml:space="preserve">Asociación Civil Mírame Bien </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 xml:space="preserve">Asociación Civil Tramas </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Foro Permanente en Defensa de los Derechos de las Personas con Discapacidad de la Provincia de Neuquén</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 xml:space="preserve">María Cecilia </w:t>
      </w:r>
      <w:proofErr w:type="spellStart"/>
      <w:r w:rsidRPr="005D40AB">
        <w:rPr>
          <w:rFonts w:ascii="Arial Narrow" w:hAnsi="Arial Narrow" w:cs="Arial"/>
          <w:iCs/>
        </w:rPr>
        <w:t>Ruhl</w:t>
      </w:r>
      <w:proofErr w:type="spellEnd"/>
    </w:p>
    <w:p w:rsidR="005D40AB" w:rsidRPr="005D40AB" w:rsidRDefault="00D62B9D" w:rsidP="005D40AB">
      <w:pPr>
        <w:numPr>
          <w:ilvl w:val="0"/>
          <w:numId w:val="1"/>
        </w:numPr>
        <w:jc w:val="both"/>
        <w:rPr>
          <w:rFonts w:ascii="Arial Narrow" w:hAnsi="Arial Narrow" w:cs="Arial"/>
          <w:iCs/>
        </w:rPr>
      </w:pPr>
      <w:hyperlink r:id="rId13" w:tooltip="Mesa Federal de Salud Mental" w:history="1">
        <w:r w:rsidR="005D40AB" w:rsidRPr="005D40AB">
          <w:rPr>
            <w:rFonts w:ascii="Arial Narrow" w:hAnsi="Arial Narrow"/>
          </w:rPr>
          <w:t>Mesa Federal de Salud Mental</w:t>
        </w:r>
      </w:hyperlink>
    </w:p>
    <w:p w:rsidR="005D40AB" w:rsidRPr="005D40AB" w:rsidRDefault="00D62B9D" w:rsidP="005D40AB">
      <w:pPr>
        <w:numPr>
          <w:ilvl w:val="0"/>
          <w:numId w:val="1"/>
        </w:numPr>
        <w:jc w:val="both"/>
        <w:rPr>
          <w:rFonts w:ascii="Arial Narrow" w:hAnsi="Arial Narrow" w:cs="Arial"/>
          <w:iCs/>
        </w:rPr>
      </w:pPr>
      <w:hyperlink r:id="rId14" w:tooltip="Mesa Federal de Salud Mental, Justicia y Derechos Humanos" w:history="1">
        <w:r w:rsidR="005D40AB" w:rsidRPr="005D40AB">
          <w:rPr>
            <w:rFonts w:ascii="Arial Narrow" w:hAnsi="Arial Narrow"/>
          </w:rPr>
          <w:t>Mesa Federal de Salud Mental, Justicia y Derechos Humanos</w:t>
        </w:r>
      </w:hyperlink>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 xml:space="preserve">Movimiento </w:t>
      </w:r>
      <w:proofErr w:type="spellStart"/>
      <w:r w:rsidRPr="005D40AB">
        <w:rPr>
          <w:rFonts w:ascii="Arial Narrow" w:hAnsi="Arial Narrow" w:cs="Arial"/>
          <w:iCs/>
        </w:rPr>
        <w:t>SuperAcción</w:t>
      </w:r>
      <w:proofErr w:type="spellEnd"/>
      <w:r w:rsidRPr="005D40AB">
        <w:rPr>
          <w:rFonts w:ascii="Arial Narrow" w:hAnsi="Arial Narrow" w:cs="Arial"/>
          <w:iCs/>
        </w:rPr>
        <w:t xml:space="preserve"> </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 xml:space="preserve">Proyecto de Extensión de Interés Social “Hacia la autonomía y la participación social de </w:t>
      </w:r>
      <w:proofErr w:type="spellStart"/>
      <w:r w:rsidRPr="005D40AB">
        <w:rPr>
          <w:rFonts w:ascii="Arial Narrow" w:hAnsi="Arial Narrow" w:cs="Arial"/>
          <w:iCs/>
        </w:rPr>
        <w:t>laspersonas</w:t>
      </w:r>
      <w:proofErr w:type="spellEnd"/>
      <w:r w:rsidRPr="005D40AB">
        <w:rPr>
          <w:rFonts w:ascii="Arial Narrow" w:hAnsi="Arial Narrow" w:cs="Arial"/>
          <w:iCs/>
        </w:rPr>
        <w:t xml:space="preserve"> con discapacidad” de la Universidad Nacional del Litoral </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Red Iberoamericana de Expertos en la Convención Internacional sobre los Derechos de las Personas con Discapacidad</w:t>
      </w:r>
    </w:p>
    <w:p w:rsidR="005D40AB" w:rsidRPr="005D40AB" w:rsidRDefault="005D40AB" w:rsidP="005D40AB">
      <w:pPr>
        <w:numPr>
          <w:ilvl w:val="0"/>
          <w:numId w:val="1"/>
        </w:numPr>
        <w:jc w:val="both"/>
        <w:rPr>
          <w:rFonts w:ascii="Arial Narrow" w:hAnsi="Arial Narrow" w:cs="Arial"/>
          <w:iCs/>
        </w:rPr>
      </w:pPr>
      <w:r w:rsidRPr="005D40AB">
        <w:rPr>
          <w:rFonts w:ascii="Arial Narrow" w:hAnsi="Arial Narrow" w:cs="Arial"/>
          <w:iCs/>
        </w:rPr>
        <w:t>Red por los Derechos de las Personas con Discapacidad</w:t>
      </w:r>
    </w:p>
    <w:p w:rsidR="005D40AB" w:rsidRPr="005D40AB" w:rsidRDefault="005D40AB" w:rsidP="005D40AB">
      <w:pPr>
        <w:jc w:val="both"/>
        <w:rPr>
          <w:rFonts w:ascii="Arial Narrow" w:hAnsi="Arial Narrow" w:cs="Arial"/>
          <w:iCs/>
        </w:rPr>
      </w:pPr>
      <w:r w:rsidRPr="005D40AB">
        <w:rPr>
          <w:rFonts w:ascii="Arial Narrow" w:hAnsi="Arial Narrow" w:cs="Arial"/>
          <w:iCs/>
        </w:rPr>
        <w:t>Finalmente, pese a que el artículo 9 de la CDPD obliga al Estado argentino a adoptar “medidas pertinentes para asegurar el acceso de las personas con discapacidad, en igualdad de condiciones con las demás, al entorno físico, el transporte, la información y las comunicaciones (...) y a otros servicios e instalaciones abiertos al público o de uso público” y, en particular, a identificar y eliminar los obstáculos y barreras de acceso a los edificios y otras instalaciones exteriores e interiores como los centros educativos,</w:t>
      </w:r>
      <w:r w:rsidR="00D94206">
        <w:rPr>
          <w:rFonts w:ascii="Arial Narrow" w:hAnsi="Arial Narrow" w:cs="Arial"/>
          <w:iCs/>
        </w:rPr>
        <w:t xml:space="preserve"> </w:t>
      </w:r>
      <w:r w:rsidRPr="005D40AB">
        <w:rPr>
          <w:rFonts w:ascii="Arial Narrow" w:hAnsi="Arial Narrow" w:cs="Arial"/>
          <w:iCs/>
        </w:rPr>
        <w:t xml:space="preserve">no en todos los casos las audiencias fueron accesibles. </w:t>
      </w:r>
    </w:p>
    <w:p w:rsidR="005D40AB" w:rsidRPr="005D40AB" w:rsidRDefault="005D40AB" w:rsidP="005D40AB">
      <w:pPr>
        <w:jc w:val="both"/>
        <w:rPr>
          <w:rFonts w:ascii="Arial Narrow" w:hAnsi="Arial Narrow" w:cs="Arial"/>
          <w:iCs/>
        </w:rPr>
      </w:pPr>
      <w:r w:rsidRPr="005D40AB">
        <w:rPr>
          <w:rFonts w:ascii="Arial Narrow" w:hAnsi="Arial Narrow" w:cs="Arial"/>
          <w:iCs/>
        </w:rPr>
        <w:t xml:space="preserve">Por citar un ejemplo, el 10 de septiembre de 2012 la Comisión Bicameral celebró una audiencia pública en la Sede de Gobierno de la Universidad Nacional de Rosario, en la ciudad de Rosario, provincia de Santa Fe. Para acceder al edificio donde se realizó la audiencia es necesario salvar dos escalones. Por regla, el ingreso no cuenta con una rampa de acceso. En casos excepcionales en los que se organizan eventos en los que se espera la asistencia de personas con discapacidad, se coloca una rampa móvil de madera. El 10 de septiembre de 2012, esta rampa no estaba colocada en el lugar necesario para permitir que las personas con discapacidad accedieran al edificio, lo que motivó que María Cecilia </w:t>
      </w:r>
      <w:proofErr w:type="spellStart"/>
      <w:r w:rsidRPr="005D40AB">
        <w:rPr>
          <w:rFonts w:ascii="Arial Narrow" w:hAnsi="Arial Narrow" w:cs="Arial"/>
          <w:iCs/>
        </w:rPr>
        <w:t>Ruhl</w:t>
      </w:r>
      <w:proofErr w:type="spellEnd"/>
      <w:r w:rsidRPr="005D40AB">
        <w:rPr>
          <w:rFonts w:ascii="Arial Narrow" w:hAnsi="Arial Narrow" w:cs="Arial"/>
          <w:iCs/>
        </w:rPr>
        <w:t xml:space="preserve">, una de las expositoras, debiera reclamar la colocación de la rampa y esperar varios minutos a que el personal de la universidad atendiera su pedido. Mientras esto sucedía en el ingreso al edificio, los organizadores se percataban de que el salón donde se desarrollaba la audiencia tampoco cumplía con las condiciones de accesibilidad necesarias, ya que el </w:t>
      </w:r>
      <w:r w:rsidRPr="005D40AB">
        <w:rPr>
          <w:rFonts w:ascii="Arial Narrow" w:hAnsi="Arial Narrow" w:cs="Arial"/>
          <w:iCs/>
        </w:rPr>
        <w:lastRenderedPageBreak/>
        <w:t xml:space="preserve">estrado se encontraba elevado con respecto al nivel del suelo y no contaba con rampa de acceso. En consecuencia, se decidió trasladar la audiencia a otro salón más </w:t>
      </w:r>
      <w:proofErr w:type="spellStart"/>
      <w:r w:rsidRPr="005D40AB">
        <w:rPr>
          <w:rFonts w:ascii="Arial Narrow" w:hAnsi="Arial Narrow" w:cs="Arial"/>
          <w:iCs/>
        </w:rPr>
        <w:t>accesible.Si</w:t>
      </w:r>
      <w:proofErr w:type="spellEnd"/>
      <w:r w:rsidRPr="005D40AB">
        <w:rPr>
          <w:rFonts w:ascii="Arial Narrow" w:hAnsi="Arial Narrow" w:cs="Arial"/>
          <w:iCs/>
        </w:rPr>
        <w:t xml:space="preserve"> bien los organizadores de la audiencia pidieron disculpas por los problemas de accesibilidad, estos inconvenientes son sólo un ejemplo de las innumerables barreras que encuentran las personas con discapacidad para ejercer su derecho a la participación en la vida política y pública (artículo 29 de la CDPD), entre otros derechos fundamentales. Asimismo, al tratarse del edificio de una institución educativa, las barreras arquitectónicas presentes en el edificio de la Universidad Nacional de Rosario también lesionan el derecho de las personas con discapacidad a la educación inclusiva (artículo 24 de la CDPD)</w:t>
      </w:r>
      <w:r w:rsidRPr="005D40AB">
        <w:rPr>
          <w:rFonts w:ascii="Arial Narrow" w:hAnsi="Arial Narrow" w:cs="Arial"/>
          <w:iCs/>
          <w:vertAlign w:val="superscript"/>
        </w:rPr>
        <w:footnoteReference w:id="13"/>
      </w:r>
      <w:r w:rsidRPr="005D40AB">
        <w:rPr>
          <w:rFonts w:ascii="Arial Narrow" w:hAnsi="Arial Narrow" w:cs="Arial"/>
          <w:iCs/>
        </w:rPr>
        <w:t>.</w:t>
      </w:r>
    </w:p>
    <w:p w:rsidR="005D40AB" w:rsidRDefault="005D40AB" w:rsidP="005D40AB">
      <w:pPr>
        <w:jc w:val="both"/>
        <w:rPr>
          <w:rFonts w:ascii="Arial Narrow" w:hAnsi="Arial Narrow" w:cs="Arial"/>
          <w:iCs/>
        </w:rPr>
      </w:pPr>
      <w:r w:rsidRPr="005D40AB">
        <w:rPr>
          <w:rFonts w:ascii="Arial Narrow" w:hAnsi="Arial Narrow" w:cs="Arial"/>
          <w:iCs/>
        </w:rPr>
        <w:t>En resumen, no existe proceso alguno en marcha que dé cuenta cabal de una modificación del Proyecto de Reforma, Actualización y Unificación de los Códigos Civil y Comercial de la Nación en el sentido requerido por el Comité. Por otro lado, y más allá de la realización de audiencias públicas durante 2012, no tenemos registro de que lo allí referido haya sido analizado pormenorizadamente por los miembros de la Comisión Bicameral o que existan reuniones programadas para analizar y debatir los temas en cuestión en las que se abra una convocatoria a participar.</w:t>
      </w:r>
    </w:p>
    <w:p w:rsidR="005D40AB" w:rsidRPr="005D40AB" w:rsidRDefault="005D40AB" w:rsidP="005D40AB">
      <w:pPr>
        <w:jc w:val="both"/>
        <w:rPr>
          <w:rFonts w:ascii="Arial Narrow" w:hAnsi="Arial Narrow" w:cs="Arial"/>
          <w:iCs/>
        </w:rPr>
      </w:pPr>
    </w:p>
    <w:p w:rsidR="004939B7" w:rsidRPr="004939B7" w:rsidRDefault="004939B7" w:rsidP="00712A35">
      <w:pPr>
        <w:pStyle w:val="SingleTxtG"/>
        <w:spacing w:line="276" w:lineRule="auto"/>
        <w:ind w:left="0" w:right="49"/>
        <w:rPr>
          <w:rFonts w:ascii="Arial Narrow" w:hAnsi="Arial Narrow" w:cs="Arial"/>
          <w:b/>
          <w:sz w:val="22"/>
          <w:szCs w:val="22"/>
          <w:u w:val="single"/>
          <w:lang w:val="es-CO" w:eastAsia="en-US"/>
        </w:rPr>
      </w:pPr>
      <w:r w:rsidRPr="004939B7">
        <w:rPr>
          <w:rFonts w:ascii="Arial Narrow" w:hAnsi="Arial Narrow" w:cs="Arial"/>
          <w:b/>
          <w:sz w:val="22"/>
          <w:szCs w:val="22"/>
          <w:u w:val="single"/>
          <w:lang w:val="es-CO" w:eastAsia="en-US"/>
        </w:rPr>
        <w:t>ARTÍCULO 29: PARTICIPACION EN LA VIDA POLÍTICA</w:t>
      </w:r>
    </w:p>
    <w:p w:rsidR="00712A35" w:rsidRPr="00174C73" w:rsidRDefault="00712A35" w:rsidP="00712A35">
      <w:pPr>
        <w:pStyle w:val="SingleTxtG"/>
        <w:spacing w:line="276" w:lineRule="auto"/>
        <w:ind w:left="0" w:right="49"/>
        <w:rPr>
          <w:rFonts w:ascii="Arial Narrow" w:eastAsia="SimSun" w:hAnsi="Arial Narrow" w:cs="Arial"/>
          <w:sz w:val="22"/>
          <w:szCs w:val="22"/>
        </w:rPr>
      </w:pPr>
      <w:r w:rsidRPr="00174C73">
        <w:rPr>
          <w:rFonts w:ascii="Arial Narrow" w:hAnsi="Arial Narrow" w:cs="Arial"/>
          <w:sz w:val="22"/>
          <w:szCs w:val="22"/>
          <w:lang w:val="es-CO" w:eastAsia="en-US"/>
        </w:rPr>
        <w:t xml:space="preserve">Por su parte, en el párrafo 48 de las Observaciones Finales, el Comité recomendó al Estado Argentino que </w:t>
      </w:r>
      <w:r w:rsidRPr="004939B7">
        <w:rPr>
          <w:rFonts w:ascii="Arial Narrow" w:hAnsi="Arial Narrow" w:cs="Arial"/>
          <w:i/>
          <w:sz w:val="22"/>
          <w:szCs w:val="22"/>
          <w:lang w:val="es-CO" w:eastAsia="en-US"/>
        </w:rPr>
        <w:t>“(a)Revise el Código Electoral y haga las modificaciones necesarias para alinearlo con los estándares de la Convención, en particular en materia de capacidad jurídica y el ejercicio del derecho al voto en igualdad de condiciones; y,</w:t>
      </w:r>
      <w:r w:rsidRPr="00174C73">
        <w:rPr>
          <w:rFonts w:ascii="Arial Narrow" w:hAnsi="Arial Narrow" w:cs="Arial"/>
          <w:sz w:val="22"/>
          <w:szCs w:val="22"/>
          <w:lang w:val="es-CO" w:eastAsia="en-US"/>
        </w:rPr>
        <w:t xml:space="preserve"> (</w:t>
      </w:r>
      <w:r w:rsidRPr="004939B7">
        <w:rPr>
          <w:rFonts w:ascii="Arial Narrow" w:hAnsi="Arial Narrow" w:cs="Arial"/>
          <w:i/>
          <w:sz w:val="22"/>
          <w:szCs w:val="22"/>
          <w:lang w:val="es-CO" w:eastAsia="en-US"/>
        </w:rPr>
        <w:t>b)Continúe sus esfuerzos para garantizar el acceso a las urnas electorales de las personas con discapacidad institucionalizadas mediante, por ejemplo, el diseño e implementación del plan nacional para garantizar el ejercicio del derecho a la participación política (CRPD/C/ARG/Q/Add.1) u otras soluciones alternativas</w:t>
      </w:r>
      <w:r w:rsidRPr="00174C73">
        <w:rPr>
          <w:rFonts w:ascii="Arial Narrow" w:hAnsi="Arial Narrow" w:cs="Arial"/>
          <w:sz w:val="22"/>
          <w:szCs w:val="22"/>
          <w:lang w:val="es-CO" w:eastAsia="en-US"/>
        </w:rPr>
        <w:t>”.</w:t>
      </w:r>
    </w:p>
    <w:p w:rsidR="00712A35" w:rsidRPr="00174C73" w:rsidRDefault="00712A35" w:rsidP="00712A35">
      <w:pPr>
        <w:ind w:right="49"/>
        <w:jc w:val="both"/>
        <w:rPr>
          <w:rFonts w:ascii="Arial Narrow" w:hAnsi="Arial Narrow" w:cs="Arial"/>
          <w:b/>
          <w:u w:val="single"/>
          <w:lang w:val="es-CO"/>
        </w:rPr>
      </w:pPr>
      <w:r>
        <w:rPr>
          <w:rFonts w:ascii="Arial Narrow" w:hAnsi="Arial Narrow" w:cs="Arial"/>
          <w:b/>
          <w:u w:val="single"/>
          <w:lang w:val="es-CO"/>
        </w:rPr>
        <w:t>CAPACIDAD JURIDICA Y EJERCICIO DEL DERECHO AL VOTO</w:t>
      </w:r>
    </w:p>
    <w:p w:rsidR="00712A35" w:rsidRPr="00174C73" w:rsidRDefault="00712A35" w:rsidP="00712A35">
      <w:pPr>
        <w:ind w:right="49"/>
        <w:jc w:val="both"/>
        <w:rPr>
          <w:rFonts w:ascii="Arial Narrow" w:hAnsi="Arial Narrow" w:cs="Arial"/>
        </w:rPr>
      </w:pPr>
      <w:r w:rsidRPr="00174C73">
        <w:rPr>
          <w:rFonts w:ascii="Arial Narrow" w:hAnsi="Arial Narrow" w:cs="Arial"/>
        </w:rPr>
        <w:t>En concordancia con las preocupaciones manifestadas por el Comité en el punto 4</w:t>
      </w:r>
      <w:r w:rsidR="004939B7">
        <w:rPr>
          <w:rFonts w:ascii="Arial Narrow" w:hAnsi="Arial Narrow" w:cs="Arial"/>
        </w:rPr>
        <w:t>7 de las Observaciones Finales,</w:t>
      </w:r>
      <w:r w:rsidRPr="00174C73">
        <w:rPr>
          <w:rFonts w:ascii="Arial Narrow" w:hAnsi="Arial Narrow" w:cs="Arial"/>
        </w:rPr>
        <w:t xml:space="preserve"> que motivaran las recomendaciones antes referenciadas, cabe reiterar lo expresado en el Informe Alternativo presentado por la sociedad civil</w:t>
      </w:r>
      <w:r w:rsidRPr="00174C73">
        <w:rPr>
          <w:rStyle w:val="FootnoteReference"/>
          <w:rFonts w:ascii="Arial Narrow" w:hAnsi="Arial Narrow" w:cs="Arial"/>
        </w:rPr>
        <w:footnoteReference w:id="14"/>
      </w:r>
      <w:r w:rsidRPr="00174C73">
        <w:rPr>
          <w:rFonts w:ascii="Arial Narrow" w:hAnsi="Arial Narrow" w:cs="Arial"/>
        </w:rPr>
        <w:t xml:space="preserve">, al </w:t>
      </w:r>
      <w:r w:rsidR="00F406C3">
        <w:rPr>
          <w:rFonts w:ascii="Arial Narrow" w:hAnsi="Arial Narrow" w:cs="Arial"/>
        </w:rPr>
        <w:t>que remitimos en honor a la brevedad.</w:t>
      </w:r>
    </w:p>
    <w:p w:rsidR="00712A35" w:rsidRDefault="00D94206" w:rsidP="00712A35">
      <w:pPr>
        <w:ind w:right="49"/>
        <w:jc w:val="both"/>
        <w:rPr>
          <w:rFonts w:ascii="Arial Narrow" w:hAnsi="Arial Narrow" w:cs="Arial"/>
          <w:strike/>
        </w:rPr>
      </w:pPr>
      <w:r>
        <w:rPr>
          <w:rFonts w:ascii="Arial Narrow" w:hAnsi="Arial Narrow" w:cs="Arial"/>
        </w:rPr>
        <w:t>Es dable</w:t>
      </w:r>
      <w:r w:rsidR="00F406C3">
        <w:rPr>
          <w:rFonts w:ascii="Arial Narrow" w:hAnsi="Arial Narrow" w:cs="Arial"/>
        </w:rPr>
        <w:t xml:space="preserve"> señalar que a la fecha de elaboración del presente informe, </w:t>
      </w:r>
      <w:r w:rsidR="00712A35" w:rsidRPr="00174C73">
        <w:rPr>
          <w:rFonts w:ascii="Arial Narrow" w:hAnsi="Arial Narrow" w:cs="Arial"/>
          <w:b/>
        </w:rPr>
        <w:t>e</w:t>
      </w:r>
      <w:r w:rsidR="00712A35" w:rsidRPr="00174C73">
        <w:rPr>
          <w:rFonts w:ascii="Arial Narrow" w:hAnsi="Arial Narrow" w:cs="Arial"/>
          <w:b/>
          <w:lang w:val="es-ES"/>
        </w:rPr>
        <w:t xml:space="preserve">l Artículo </w:t>
      </w:r>
      <w:r w:rsidR="00712A35" w:rsidRPr="00174C73">
        <w:rPr>
          <w:rFonts w:ascii="Arial Narrow" w:hAnsi="Arial Narrow" w:cs="Arial"/>
          <w:b/>
        </w:rPr>
        <w:t>3, inciso “a” del Código Nacional Electoral mantiene la exclusión del padrón a los “dementes declarados tales en juicio”</w:t>
      </w:r>
      <w:r w:rsidR="00712A35" w:rsidRPr="00174C73">
        <w:rPr>
          <w:rFonts w:ascii="Arial Narrow" w:hAnsi="Arial Narrow" w:cs="Arial"/>
        </w:rPr>
        <w:t xml:space="preserve">. </w:t>
      </w:r>
    </w:p>
    <w:p w:rsidR="00F406C3" w:rsidRDefault="00712A35" w:rsidP="00712A35">
      <w:pPr>
        <w:ind w:right="49"/>
        <w:jc w:val="both"/>
        <w:rPr>
          <w:rFonts w:ascii="Arial Narrow" w:hAnsi="Arial Narrow" w:cs="Arial"/>
          <w:lang w:val="es-ES"/>
        </w:rPr>
      </w:pPr>
      <w:r w:rsidRPr="00174C73">
        <w:rPr>
          <w:rFonts w:ascii="Arial Narrow" w:hAnsi="Arial Narrow" w:cs="Arial"/>
          <w:lang w:val="es-ES"/>
        </w:rPr>
        <w:t xml:space="preserve">Otra situación </w:t>
      </w:r>
      <w:r w:rsidR="005D40AB">
        <w:rPr>
          <w:rFonts w:ascii="Arial Narrow" w:hAnsi="Arial Narrow" w:cs="Arial"/>
          <w:lang w:val="es-ES"/>
        </w:rPr>
        <w:t>que merece mención especial es</w:t>
      </w:r>
      <w:r w:rsidRPr="00174C73">
        <w:rPr>
          <w:rFonts w:ascii="Arial Narrow" w:hAnsi="Arial Narrow" w:cs="Arial"/>
          <w:lang w:val="es-ES"/>
        </w:rPr>
        <w:t xml:space="preserve"> el caso de las </w:t>
      </w:r>
      <w:r w:rsidRPr="00174C73">
        <w:rPr>
          <w:rFonts w:ascii="Arial Narrow" w:hAnsi="Arial Narrow" w:cs="Arial"/>
          <w:b/>
          <w:lang w:val="es-ES"/>
        </w:rPr>
        <w:t>personas que se encuentran privadas de la libertad en asilos psiquiátricos</w:t>
      </w:r>
      <w:r w:rsidRPr="00174C73">
        <w:rPr>
          <w:rFonts w:ascii="Arial Narrow" w:hAnsi="Arial Narrow" w:cs="Arial"/>
          <w:lang w:val="es-ES"/>
        </w:rPr>
        <w:t xml:space="preserve">, quienes aunque no poseen restricción formal para ejercer su derecho a votar y hasta figuran en padrones electorales, no pueden salir libremente para las votaciones. En este </w:t>
      </w:r>
      <w:r w:rsidRPr="00174C73">
        <w:rPr>
          <w:rFonts w:ascii="Arial Narrow" w:hAnsi="Arial Narrow" w:cs="Arial"/>
          <w:lang w:val="es-ES"/>
        </w:rPr>
        <w:lastRenderedPageBreak/>
        <w:t xml:space="preserve">supuesto la restricción se produce por falta de accesibilidad electoral y no por restricciones normativas.  Esta circunstancia obligó a la Defensoría General de la Nación, a través de la Unidad de Letrados Art. 22  Ley 26.657, a realizar </w:t>
      </w:r>
      <w:r w:rsidR="00F406C3">
        <w:rPr>
          <w:rFonts w:ascii="Arial Narrow" w:hAnsi="Arial Narrow" w:cs="Arial"/>
          <w:lang w:val="es-ES"/>
        </w:rPr>
        <w:t xml:space="preserve">numerosas </w:t>
      </w:r>
      <w:r w:rsidRPr="00174C73">
        <w:rPr>
          <w:rFonts w:ascii="Arial Narrow" w:hAnsi="Arial Narrow" w:cs="Arial"/>
          <w:lang w:val="es-ES"/>
        </w:rPr>
        <w:t>presentaciones ante la Justicia Civil, a efectos de que se garanticen los medios necesarios a fin de asegurar la concurrencia en forma efectiva a ejercer su derecho a sufragio, en las elecci</w:t>
      </w:r>
      <w:r w:rsidR="00A173FC">
        <w:rPr>
          <w:rFonts w:ascii="Arial Narrow" w:hAnsi="Arial Narrow" w:cs="Arial"/>
          <w:lang w:val="es-ES"/>
        </w:rPr>
        <w:t>o</w:t>
      </w:r>
      <w:r w:rsidRPr="00174C73">
        <w:rPr>
          <w:rFonts w:ascii="Arial Narrow" w:hAnsi="Arial Narrow" w:cs="Arial"/>
          <w:lang w:val="es-ES"/>
        </w:rPr>
        <w:t>n</w:t>
      </w:r>
      <w:r w:rsidR="00A173FC">
        <w:rPr>
          <w:rFonts w:ascii="Arial Narrow" w:hAnsi="Arial Narrow" w:cs="Arial"/>
          <w:lang w:val="es-ES"/>
        </w:rPr>
        <w:t>es</w:t>
      </w:r>
      <w:r w:rsidRPr="00174C73">
        <w:rPr>
          <w:rFonts w:ascii="Arial Narrow" w:hAnsi="Arial Narrow" w:cs="Arial"/>
          <w:lang w:val="es-ES"/>
        </w:rPr>
        <w:t xml:space="preserve"> Primarias Abiertas Simult</w:t>
      </w:r>
      <w:r w:rsidR="00A173FC">
        <w:rPr>
          <w:rFonts w:ascii="Arial Narrow" w:hAnsi="Arial Narrow" w:cs="Arial"/>
          <w:lang w:val="es-ES"/>
        </w:rPr>
        <w:t>á</w:t>
      </w:r>
      <w:r w:rsidRPr="00174C73">
        <w:rPr>
          <w:rFonts w:ascii="Arial Narrow" w:hAnsi="Arial Narrow" w:cs="Arial"/>
          <w:lang w:val="es-ES"/>
        </w:rPr>
        <w:t>neas y Obligatorias (PASO), celebradas en nuestro país el pasado 11 de agosto de 2013</w:t>
      </w:r>
      <w:r w:rsidRPr="00174C73">
        <w:rPr>
          <w:rStyle w:val="FootnoteReference"/>
          <w:rFonts w:ascii="Arial Narrow" w:hAnsi="Arial Narrow" w:cs="Arial"/>
          <w:lang w:val="es-ES"/>
        </w:rPr>
        <w:footnoteReference w:id="15"/>
      </w:r>
      <w:r w:rsidR="00A173FC">
        <w:rPr>
          <w:rFonts w:ascii="Arial Narrow" w:hAnsi="Arial Narrow" w:cs="Arial"/>
          <w:lang w:val="es-ES"/>
        </w:rPr>
        <w:t>.</w:t>
      </w:r>
      <w:r w:rsidRPr="00174C73">
        <w:rPr>
          <w:rFonts w:ascii="Arial Narrow" w:hAnsi="Arial Narrow" w:cs="Arial"/>
          <w:lang w:val="es-ES"/>
        </w:rPr>
        <w:t xml:space="preserve">  </w:t>
      </w:r>
    </w:p>
    <w:p w:rsidR="00712A35" w:rsidRPr="00174C73" w:rsidRDefault="00712A35" w:rsidP="00712A35">
      <w:pPr>
        <w:ind w:right="49"/>
        <w:jc w:val="both"/>
        <w:rPr>
          <w:rFonts w:ascii="Arial Narrow" w:hAnsi="Arial Narrow" w:cs="Arial"/>
          <w:b/>
          <w:caps/>
          <w:u w:val="single"/>
          <w:lang w:val="es-ES"/>
        </w:rPr>
      </w:pPr>
      <w:r w:rsidRPr="00174C73">
        <w:rPr>
          <w:rFonts w:ascii="Arial Narrow" w:hAnsi="Arial Narrow" w:cs="Arial"/>
          <w:b/>
          <w:caps/>
          <w:u w:val="single"/>
          <w:lang w:val="es-ES"/>
        </w:rPr>
        <w:t>Accesibilidad electoral</w:t>
      </w:r>
    </w:p>
    <w:p w:rsidR="00712A35" w:rsidRPr="00174C73" w:rsidRDefault="00712A35" w:rsidP="00712A35">
      <w:pPr>
        <w:ind w:right="49"/>
        <w:jc w:val="both"/>
        <w:rPr>
          <w:rFonts w:ascii="Arial Narrow" w:hAnsi="Arial Narrow" w:cs="Arial"/>
          <w:lang w:val="es-ES"/>
        </w:rPr>
      </w:pPr>
      <w:r w:rsidRPr="00174C73">
        <w:rPr>
          <w:rFonts w:ascii="Arial Narrow" w:hAnsi="Arial Narrow" w:cs="Arial"/>
          <w:lang w:val="es-ES"/>
        </w:rPr>
        <w:t>Consideramos propicia la opor</w:t>
      </w:r>
      <w:r w:rsidR="004939B7">
        <w:rPr>
          <w:rFonts w:ascii="Arial Narrow" w:hAnsi="Arial Narrow" w:cs="Arial"/>
          <w:lang w:val="es-ES"/>
        </w:rPr>
        <w:t>tunidad para manifestar a este O</w:t>
      </w:r>
      <w:r w:rsidRPr="00174C73">
        <w:rPr>
          <w:rFonts w:ascii="Arial Narrow" w:hAnsi="Arial Narrow" w:cs="Arial"/>
          <w:lang w:val="es-ES"/>
        </w:rPr>
        <w:t>rganismo nuestra</w:t>
      </w:r>
      <w:r w:rsidR="004939B7">
        <w:rPr>
          <w:rFonts w:ascii="Arial Narrow" w:hAnsi="Arial Narrow" w:cs="Arial"/>
          <w:lang w:val="es-ES"/>
        </w:rPr>
        <w:t xml:space="preserve"> profunda</w:t>
      </w:r>
      <w:r w:rsidRPr="00174C73">
        <w:rPr>
          <w:rFonts w:ascii="Arial Narrow" w:hAnsi="Arial Narrow" w:cs="Arial"/>
          <w:lang w:val="es-ES"/>
        </w:rPr>
        <w:t xml:space="preserve"> preocupación por la falta de condiciones de accesibilidad en el proceso eleccionario. Pese a la sobreabundante normativa - leyes y programas- que proclama</w:t>
      </w:r>
      <w:r w:rsidR="00F07364">
        <w:rPr>
          <w:rFonts w:ascii="Arial Narrow" w:hAnsi="Arial Narrow" w:cs="Arial"/>
          <w:lang w:val="es-ES"/>
        </w:rPr>
        <w:t>n</w:t>
      </w:r>
      <w:r w:rsidRPr="00174C73">
        <w:rPr>
          <w:rFonts w:ascii="Arial Narrow" w:hAnsi="Arial Narrow" w:cs="Arial"/>
          <w:lang w:val="es-ES"/>
        </w:rPr>
        <w:t xml:space="preserve"> en sus considerandos estar en línea con los derechos y principios reconocidos en la CPCD, observamos que las políticas públicas diseñadas</w:t>
      </w:r>
      <w:r w:rsidR="00F34173">
        <w:rPr>
          <w:rFonts w:ascii="Arial Narrow" w:hAnsi="Arial Narrow" w:cs="Arial"/>
          <w:lang w:val="es-ES"/>
        </w:rPr>
        <w:t xml:space="preserve"> presentan alarmantes discrepancias</w:t>
      </w:r>
      <w:r w:rsidR="00E0222C">
        <w:rPr>
          <w:rFonts w:ascii="Arial Narrow" w:hAnsi="Arial Narrow" w:cs="Arial"/>
          <w:lang w:val="es-ES"/>
        </w:rPr>
        <w:t xml:space="preserve"> con las disposiciones de la Convención</w:t>
      </w:r>
      <w:r w:rsidRPr="00174C73">
        <w:rPr>
          <w:rFonts w:ascii="Arial Narrow" w:hAnsi="Arial Narrow" w:cs="Arial"/>
          <w:lang w:val="es-ES"/>
        </w:rPr>
        <w:t>.</w:t>
      </w:r>
    </w:p>
    <w:p w:rsidR="00712A35" w:rsidRPr="00174C73" w:rsidRDefault="00712A35" w:rsidP="00712A35">
      <w:pPr>
        <w:ind w:right="49"/>
        <w:jc w:val="both"/>
        <w:rPr>
          <w:rFonts w:ascii="Arial Narrow" w:hAnsi="Arial Narrow" w:cs="Arial"/>
        </w:rPr>
      </w:pPr>
      <w:r w:rsidRPr="00174C73">
        <w:rPr>
          <w:rFonts w:ascii="Arial Narrow" w:hAnsi="Arial Narrow" w:cs="Arial"/>
        </w:rPr>
        <w:t xml:space="preserve">A través de la Resolución 820 del 17 de mayo de 2006 se crea el Programa de Accesibilidad Electoral con el propósito de "Incorporar a la normativa electoral, previsiones que faciliten el derecho al sufragio de las personas con capacidades diferentes" (lenguaje de la resolución). </w:t>
      </w:r>
    </w:p>
    <w:p w:rsidR="00712A35" w:rsidRPr="00174C73" w:rsidRDefault="00712A35" w:rsidP="00712A35">
      <w:pPr>
        <w:jc w:val="both"/>
        <w:rPr>
          <w:rFonts w:ascii="Arial Narrow" w:hAnsi="Arial Narrow" w:cs="Arial"/>
        </w:rPr>
      </w:pPr>
      <w:r w:rsidRPr="00174C73">
        <w:rPr>
          <w:rFonts w:ascii="Arial Narrow" w:hAnsi="Arial Narrow" w:cs="Arial"/>
        </w:rPr>
        <w:t xml:space="preserve">Entre las medidas previstas por la normativa para el ejercicio de los derechos políticos de este colectivo, se encuentra: “la instalación de un </w:t>
      </w:r>
      <w:r w:rsidRPr="00174C73">
        <w:rPr>
          <w:rFonts w:ascii="Arial Narrow" w:hAnsi="Arial Narrow" w:cs="Arial"/>
          <w:b/>
        </w:rPr>
        <w:t>cuarto oscuro accesible (COA) por establecimiento</w:t>
      </w:r>
      <w:r w:rsidRPr="00174C73">
        <w:rPr>
          <w:rFonts w:ascii="Arial Narrow" w:hAnsi="Arial Narrow" w:cs="Arial"/>
        </w:rPr>
        <w:t>, para ser utilizado por los electores que correspondan a esa mesa y además, por los electores con discapacidad que lo requieran, aún cuando estén registrados en otras mesas del mismo establecimiento”</w:t>
      </w:r>
      <w:r w:rsidRPr="00174C73">
        <w:rPr>
          <w:rStyle w:val="FootnoteReference"/>
          <w:rFonts w:ascii="Arial Narrow" w:hAnsi="Arial Narrow" w:cs="Arial"/>
        </w:rPr>
        <w:footnoteReference w:id="16"/>
      </w:r>
      <w:r w:rsidRPr="00174C73">
        <w:rPr>
          <w:rFonts w:ascii="Arial Narrow" w:hAnsi="Arial Narrow" w:cs="Arial"/>
        </w:rPr>
        <w:t>.</w:t>
      </w:r>
    </w:p>
    <w:p w:rsidR="00F406C3" w:rsidRPr="00174C73" w:rsidRDefault="00712A35" w:rsidP="00F406C3">
      <w:pPr>
        <w:ind w:right="49"/>
        <w:jc w:val="both"/>
        <w:rPr>
          <w:rFonts w:ascii="Arial Narrow" w:hAnsi="Arial Narrow" w:cs="Arial"/>
        </w:rPr>
      </w:pPr>
      <w:r w:rsidRPr="00174C73">
        <w:rPr>
          <w:rFonts w:ascii="Arial Narrow" w:hAnsi="Arial Narrow" w:cs="Arial"/>
        </w:rPr>
        <w:t xml:space="preserve">Ahora bien, la previsión de la instalación de un COA en cada establecimiento afectado a los comicios, como media que garantice accesibilidad acorde al </w:t>
      </w:r>
      <w:r w:rsidR="00D94206">
        <w:rPr>
          <w:rFonts w:ascii="Arial Narrow" w:hAnsi="Arial Narrow" w:cs="Arial"/>
        </w:rPr>
        <w:t xml:space="preserve">artículo </w:t>
      </w:r>
      <w:r w:rsidRPr="00174C73">
        <w:rPr>
          <w:rFonts w:ascii="Arial Narrow" w:hAnsi="Arial Narrow" w:cs="Arial"/>
        </w:rPr>
        <w:t xml:space="preserve">9 de la CPCD, deviene insuficiente debido </w:t>
      </w:r>
      <w:r w:rsidR="00F34173">
        <w:rPr>
          <w:rFonts w:ascii="Arial Narrow" w:hAnsi="Arial Narrow" w:cs="Arial"/>
        </w:rPr>
        <w:t xml:space="preserve">a </w:t>
      </w:r>
      <w:r w:rsidRPr="00174C73">
        <w:rPr>
          <w:rFonts w:ascii="Arial Narrow" w:hAnsi="Arial Narrow" w:cs="Arial"/>
        </w:rPr>
        <w:t>que la gran mayoría de</w:t>
      </w:r>
      <w:r w:rsidR="00F34173">
        <w:rPr>
          <w:rFonts w:ascii="Arial Narrow" w:hAnsi="Arial Narrow" w:cs="Arial"/>
        </w:rPr>
        <w:t xml:space="preserve"> los</w:t>
      </w:r>
      <w:r w:rsidRPr="00174C73">
        <w:rPr>
          <w:rFonts w:ascii="Arial Narrow" w:hAnsi="Arial Narrow" w:cs="Arial"/>
        </w:rPr>
        <w:t xml:space="preserve"> centros eleccionarios presenta</w:t>
      </w:r>
      <w:r w:rsidR="0055183A">
        <w:rPr>
          <w:rFonts w:ascii="Arial Narrow" w:hAnsi="Arial Narrow" w:cs="Arial"/>
        </w:rPr>
        <w:t>n</w:t>
      </w:r>
      <w:r w:rsidRPr="00174C73">
        <w:rPr>
          <w:rFonts w:ascii="Arial Narrow" w:hAnsi="Arial Narrow" w:cs="Arial"/>
        </w:rPr>
        <w:t xml:space="preserve"> barreras que dificultan, cuando no imposibilita</w:t>
      </w:r>
      <w:r w:rsidR="00F34173">
        <w:rPr>
          <w:rFonts w:ascii="Arial Narrow" w:hAnsi="Arial Narrow" w:cs="Arial"/>
        </w:rPr>
        <w:t>n</w:t>
      </w:r>
      <w:r w:rsidRPr="00174C73">
        <w:rPr>
          <w:rFonts w:ascii="Arial Narrow" w:hAnsi="Arial Narrow" w:cs="Arial"/>
        </w:rPr>
        <w:t>, tanto el ingreso como la circulación horizontal dentro de los mismos a personas con discapacidad.  El COA sólo resuelve la falta de accesibilidad vertical pero no el ingreso, circulación horizontal ni permanencia de personas con discapacidad, por tanto no puede ser equiparado a una medida tendiente a asegurar a la personas con discapacidad el ejercicio de su derecho a voto en igualdad de condiciones con las demás.</w:t>
      </w:r>
      <w:r w:rsidR="00F406C3">
        <w:rPr>
          <w:rFonts w:ascii="Arial Narrow" w:hAnsi="Arial Narrow" w:cs="Arial"/>
        </w:rPr>
        <w:t xml:space="preserve"> Por otro lado, y como se desprende de nuestra exposición, la medida no garantiza accesibilidad para todos/as sino que segrega a las personas con discapacidad en instalaciones “especiales” que las estigmatizan.</w:t>
      </w:r>
    </w:p>
    <w:p w:rsidR="00712A35" w:rsidRPr="00174C73" w:rsidRDefault="00712A35" w:rsidP="00712A35">
      <w:pPr>
        <w:ind w:right="49"/>
        <w:jc w:val="both"/>
        <w:rPr>
          <w:rFonts w:ascii="Arial Narrow" w:hAnsi="Arial Narrow" w:cs="Arial"/>
          <w:b/>
        </w:rPr>
      </w:pPr>
      <w:r w:rsidRPr="00174C73">
        <w:rPr>
          <w:rFonts w:ascii="Arial Narrow" w:hAnsi="Arial Narrow" w:cs="Arial"/>
        </w:rPr>
        <w:t>El propio Ministerio de Interior, en virtud del mencionado Programa de Accesibilidad Electoral</w:t>
      </w:r>
      <w:r w:rsidRPr="00174C73">
        <w:rPr>
          <w:rStyle w:val="FootnoteReference"/>
          <w:rFonts w:ascii="Arial Narrow" w:hAnsi="Arial Narrow" w:cs="Arial"/>
        </w:rPr>
        <w:footnoteReference w:id="17"/>
      </w:r>
      <w:r w:rsidRPr="00174C73">
        <w:rPr>
          <w:rFonts w:ascii="Arial Narrow" w:hAnsi="Arial Narrow" w:cs="Arial"/>
        </w:rPr>
        <w:t>, encomendó el relevamiento de más de 12.000 establecimiento</w:t>
      </w:r>
      <w:r w:rsidR="0055183A">
        <w:rPr>
          <w:rFonts w:ascii="Arial Narrow" w:hAnsi="Arial Narrow" w:cs="Arial"/>
        </w:rPr>
        <w:t>s</w:t>
      </w:r>
      <w:r w:rsidRPr="00174C73">
        <w:rPr>
          <w:rFonts w:ascii="Arial Narrow" w:hAnsi="Arial Narrow" w:cs="Arial"/>
        </w:rPr>
        <w:t xml:space="preserve"> –en su mayoría educativos- afectados habitualmente a </w:t>
      </w:r>
      <w:r w:rsidR="00D94206">
        <w:rPr>
          <w:rFonts w:ascii="Arial Narrow" w:hAnsi="Arial Narrow" w:cs="Arial"/>
        </w:rPr>
        <w:lastRenderedPageBreak/>
        <w:t>los comicios. Según el informe [</w:t>
      </w:r>
      <w:r w:rsidRPr="00174C73">
        <w:rPr>
          <w:rFonts w:ascii="Arial Narrow" w:hAnsi="Arial Narrow" w:cs="Arial"/>
        </w:rPr>
        <w:t>del Ministerio del Interior sobre variable en 12.340 establecimientos de todo el país]</w:t>
      </w:r>
      <w:r w:rsidR="00FA542F">
        <w:rPr>
          <w:rFonts w:ascii="Arial Narrow" w:hAnsi="Arial Narrow" w:cs="Arial"/>
        </w:rPr>
        <w:t>, dado a conocer en el año 2010,</w:t>
      </w:r>
      <w:r w:rsidRPr="00174C73">
        <w:rPr>
          <w:rFonts w:ascii="Arial Narrow" w:hAnsi="Arial Narrow" w:cs="Arial"/>
        </w:rPr>
        <w:t xml:space="preserve"> </w:t>
      </w:r>
      <w:r w:rsidRPr="00174C73">
        <w:rPr>
          <w:rFonts w:ascii="Arial Narrow" w:hAnsi="Arial Narrow" w:cs="Arial"/>
          <w:b/>
        </w:rPr>
        <w:t>más de la mitad de los establecimientos tienen un acceso “inadecuado” (54,8%) ya sea porque tienen escaleras sin rampa (38%), o tienen rampa pero sin pasamanos (10,6%) y en menor medida, es angosta (menos de 1.10 m de ancho) (0,9%) o no es fija (1,3%)”</w:t>
      </w:r>
      <w:r w:rsidR="0055183A">
        <w:rPr>
          <w:rStyle w:val="FootnoteReference"/>
          <w:rFonts w:ascii="Arial Narrow" w:hAnsi="Arial Narrow"/>
          <w:b/>
        </w:rPr>
        <w:footnoteReference w:id="18"/>
      </w:r>
      <w:r w:rsidR="0055183A">
        <w:rPr>
          <w:rFonts w:ascii="Arial Narrow" w:hAnsi="Arial Narrow" w:cs="Arial"/>
          <w:b/>
        </w:rPr>
        <w:t xml:space="preserve">. </w:t>
      </w:r>
      <w:r w:rsidR="00F406C3">
        <w:rPr>
          <w:rFonts w:ascii="Arial Narrow" w:hAnsi="Arial Narrow" w:cs="Arial"/>
        </w:rPr>
        <w:t>Es dable</w:t>
      </w:r>
      <w:r w:rsidR="0055183A" w:rsidRPr="0055183A">
        <w:rPr>
          <w:rFonts w:ascii="Arial Narrow" w:hAnsi="Arial Narrow" w:cs="Arial"/>
        </w:rPr>
        <w:t xml:space="preserve"> aclarar que este relevamiento no incluye</w:t>
      </w:r>
      <w:r w:rsidR="00F406C3">
        <w:rPr>
          <w:rFonts w:ascii="Arial Narrow" w:hAnsi="Arial Narrow" w:cs="Arial"/>
        </w:rPr>
        <w:t xml:space="preserve"> la evaluación de</w:t>
      </w:r>
      <w:r w:rsidR="0055183A" w:rsidRPr="0055183A">
        <w:rPr>
          <w:rFonts w:ascii="Arial Narrow" w:hAnsi="Arial Narrow" w:cs="Arial"/>
        </w:rPr>
        <w:t xml:space="preserve"> variables que permitan conocer el grado de accesibilidad horizontal ni vertical</w:t>
      </w:r>
      <w:r w:rsidR="0055183A">
        <w:rPr>
          <w:rFonts w:ascii="Arial Narrow" w:hAnsi="Arial Narrow" w:cs="Arial"/>
        </w:rPr>
        <w:t>, tampoco la posibilidad de permanecer condicionada por la existencia de sanitarios accesibles</w:t>
      </w:r>
      <w:r w:rsidR="0055183A" w:rsidRPr="0055183A">
        <w:rPr>
          <w:rFonts w:ascii="Arial Narrow" w:hAnsi="Arial Narrow" w:cs="Arial"/>
        </w:rPr>
        <w:t xml:space="preserve">, sólo </w:t>
      </w:r>
      <w:r w:rsidR="0055183A">
        <w:rPr>
          <w:rFonts w:ascii="Arial Narrow" w:hAnsi="Arial Narrow" w:cs="Arial"/>
        </w:rPr>
        <w:t>considera</w:t>
      </w:r>
      <w:r w:rsidR="0055183A" w:rsidRPr="0055183A">
        <w:rPr>
          <w:rFonts w:ascii="Arial Narrow" w:hAnsi="Arial Narrow" w:cs="Arial"/>
        </w:rPr>
        <w:t xml:space="preserve"> la </w:t>
      </w:r>
      <w:proofErr w:type="spellStart"/>
      <w:r w:rsidR="0055183A" w:rsidRPr="0055183A">
        <w:rPr>
          <w:rFonts w:ascii="Arial Narrow" w:hAnsi="Arial Narrow" w:cs="Arial"/>
        </w:rPr>
        <w:t>franqueabilidad</w:t>
      </w:r>
      <w:proofErr w:type="spellEnd"/>
      <w:r w:rsidR="0055183A" w:rsidRPr="0055183A">
        <w:rPr>
          <w:rFonts w:ascii="Arial Narrow" w:hAnsi="Arial Narrow" w:cs="Arial"/>
        </w:rPr>
        <w:t xml:space="preserve"> del ingreso.</w:t>
      </w:r>
    </w:p>
    <w:p w:rsidR="00712A35" w:rsidRPr="00CD7D1E" w:rsidRDefault="00712A35" w:rsidP="00712A35">
      <w:pPr>
        <w:ind w:right="49"/>
        <w:jc w:val="both"/>
        <w:rPr>
          <w:rFonts w:ascii="Arial Narrow" w:hAnsi="Arial Narrow" w:cs="Arial"/>
        </w:rPr>
      </w:pPr>
      <w:r w:rsidRPr="00174C73">
        <w:rPr>
          <w:rFonts w:ascii="Arial Narrow" w:hAnsi="Arial Narrow" w:cs="Arial"/>
        </w:rPr>
        <w:t xml:space="preserve">En lo que respecta al ámbito de la Ciudad de Buenos Aires, cabe mencionar </w:t>
      </w:r>
      <w:r>
        <w:rPr>
          <w:rFonts w:ascii="Arial Narrow" w:hAnsi="Arial Narrow" w:cs="Arial"/>
        </w:rPr>
        <w:t xml:space="preserve">que según información provista en 2011 por la Dirección </w:t>
      </w:r>
      <w:r w:rsidR="00C847DB">
        <w:rPr>
          <w:rFonts w:ascii="Arial Narrow" w:hAnsi="Arial Narrow" w:cs="Arial"/>
        </w:rPr>
        <w:t>de Infraestructura Escolar del Gobierno de la</w:t>
      </w:r>
      <w:r>
        <w:rPr>
          <w:rFonts w:ascii="Arial Narrow" w:hAnsi="Arial Narrow" w:cs="Arial"/>
        </w:rPr>
        <w:t xml:space="preserve"> Ciudad de Buenos Aires,</w:t>
      </w:r>
      <w:r w:rsidR="00C847DB">
        <w:rPr>
          <w:rFonts w:ascii="Arial Narrow" w:hAnsi="Arial Narrow" w:cs="Arial"/>
        </w:rPr>
        <w:t xml:space="preserve"> </w:t>
      </w:r>
      <w:r w:rsidR="00CD7D1E">
        <w:rPr>
          <w:rFonts w:ascii="Arial Narrow" w:hAnsi="Arial Narrow" w:cs="Arial"/>
        </w:rPr>
        <w:t>del total de establecimientos educativos de gestión estatal</w:t>
      </w:r>
      <w:r>
        <w:rPr>
          <w:rFonts w:ascii="Arial Narrow" w:hAnsi="Arial Narrow" w:cs="Arial"/>
        </w:rPr>
        <w:t xml:space="preserve"> </w:t>
      </w:r>
      <w:r w:rsidRPr="005820D5">
        <w:rPr>
          <w:rFonts w:ascii="Arial Narrow" w:hAnsi="Arial Narrow" w:cs="Arial"/>
          <w:b/>
          <w:u w:val="single"/>
        </w:rPr>
        <w:t xml:space="preserve">sólo el 10% de las escuelas públicas de la </w:t>
      </w:r>
      <w:r>
        <w:rPr>
          <w:rFonts w:ascii="Arial Narrow" w:hAnsi="Arial Narrow" w:cs="Arial"/>
          <w:b/>
          <w:u w:val="single"/>
        </w:rPr>
        <w:t>c</w:t>
      </w:r>
      <w:r w:rsidRPr="005820D5">
        <w:rPr>
          <w:rFonts w:ascii="Arial Narrow" w:hAnsi="Arial Narrow" w:cs="Arial"/>
          <w:b/>
          <w:u w:val="single"/>
        </w:rPr>
        <w:t>iudad cumplen con condiciones de accesibilidad</w:t>
      </w:r>
      <w:r w:rsidR="00CD7D1E">
        <w:rPr>
          <w:rFonts w:ascii="Arial Narrow" w:hAnsi="Arial Narrow" w:cs="Arial"/>
          <w:b/>
          <w:u w:val="single"/>
        </w:rPr>
        <w:t>.</w:t>
      </w:r>
      <w:r w:rsidR="00CD7D1E">
        <w:rPr>
          <w:rFonts w:ascii="Arial Narrow" w:hAnsi="Arial Narrow" w:cs="Arial"/>
        </w:rPr>
        <w:t xml:space="preserve"> En este caso, el análisis se realizó sobre tres variables: </w:t>
      </w:r>
      <w:proofErr w:type="spellStart"/>
      <w:r w:rsidR="00CD7D1E">
        <w:rPr>
          <w:rFonts w:ascii="Arial Narrow" w:hAnsi="Arial Narrow" w:cs="Arial"/>
        </w:rPr>
        <w:t>franqueabilidad</w:t>
      </w:r>
      <w:proofErr w:type="spellEnd"/>
      <w:r w:rsidR="00CD7D1E">
        <w:rPr>
          <w:rFonts w:ascii="Arial Narrow" w:hAnsi="Arial Narrow" w:cs="Arial"/>
        </w:rPr>
        <w:t xml:space="preserve"> del ingreso, permanencia y circulación vertica</w:t>
      </w:r>
      <w:r w:rsidR="00CD7D1E" w:rsidRPr="00CD7D1E">
        <w:rPr>
          <w:rFonts w:ascii="Arial Narrow" w:hAnsi="Arial Narrow" w:cs="Arial"/>
        </w:rPr>
        <w:t>l.</w:t>
      </w:r>
      <w:r w:rsidR="00FA542F" w:rsidRPr="00FA542F">
        <w:rPr>
          <w:rStyle w:val="FootnoteReference"/>
          <w:rFonts w:ascii="Arial Narrow" w:hAnsi="Arial Narrow"/>
        </w:rPr>
        <w:t xml:space="preserve"> </w:t>
      </w:r>
      <w:r w:rsidR="00FA542F" w:rsidRPr="00CD7D1E">
        <w:rPr>
          <w:rStyle w:val="FootnoteReference"/>
          <w:rFonts w:ascii="Arial Narrow" w:hAnsi="Arial Narrow"/>
        </w:rPr>
        <w:footnoteReference w:id="19"/>
      </w:r>
    </w:p>
    <w:p w:rsidR="00712A35" w:rsidRPr="00174C73" w:rsidRDefault="00712A35" w:rsidP="00712A35">
      <w:pPr>
        <w:ind w:right="49"/>
        <w:jc w:val="both"/>
        <w:rPr>
          <w:rFonts w:ascii="Arial Narrow" w:hAnsi="Arial Narrow" w:cs="Arial"/>
          <w:bCs/>
        </w:rPr>
      </w:pPr>
      <w:r w:rsidRPr="00174C73">
        <w:rPr>
          <w:rFonts w:ascii="Arial Narrow" w:hAnsi="Arial Narrow" w:cs="Arial"/>
        </w:rPr>
        <w:t xml:space="preserve">Estos datos demuestran las grandes barreras y las limitaciones que encuentran las personas con discapacidad, privando a este colectivo no sólo del derecho a sufragar sino también de participar políticamente en el acto eleccionario como autoridades de mesa o fiscales generales, por el hecho de no poder ingresar ni circular dentro de los centros designados para realizar las votaciones. </w:t>
      </w:r>
    </w:p>
    <w:p w:rsidR="00712A35" w:rsidRPr="00174C73" w:rsidRDefault="00712A35" w:rsidP="00712A35">
      <w:pPr>
        <w:ind w:right="49"/>
        <w:jc w:val="both"/>
        <w:rPr>
          <w:rFonts w:ascii="Arial Narrow" w:hAnsi="Arial Narrow" w:cs="Arial"/>
        </w:rPr>
      </w:pPr>
      <w:r w:rsidRPr="00174C73">
        <w:rPr>
          <w:rFonts w:ascii="Arial Narrow" w:hAnsi="Arial Narrow" w:cs="Arial"/>
        </w:rPr>
        <w:t>A su vez, es menester consignar que el COA como dispositivo de accesibilidad fue diseñado para que solo se ubicara en uno de los cuartos oscuros por centro electoral. Las escuelas que son empleadas como centros electorales asignan varias de sus aulas para constituir los cuartos oscuros, donde por orden alfabético cada ciudadano ejerce su derecho. Al contar con un solo COA por centro electoral -en los casos donde se los dispuso- muchos electores con discapacidad no pudieron emitir su sufragio en SU cuarto oscuro -el asignado por padrón electoral-, circunstancia que –para la emisión del voto- exige la movilización de la urna y la modificación en los mecanismos habituales. Esto constituye claramente, agregar tareas o mecanismos extras por la condición de discapacidad violando los principios de no discriminación y dignidad que establecen la CDPD.</w:t>
      </w:r>
    </w:p>
    <w:p w:rsidR="00712A35" w:rsidRPr="00174C73" w:rsidRDefault="00712A35" w:rsidP="00712A35">
      <w:pPr>
        <w:ind w:right="49"/>
        <w:jc w:val="both"/>
        <w:rPr>
          <w:rFonts w:ascii="Arial Narrow" w:hAnsi="Arial Narrow" w:cs="Arial"/>
        </w:rPr>
      </w:pPr>
      <w:r w:rsidRPr="00174C73">
        <w:rPr>
          <w:rFonts w:ascii="Arial Narrow" w:hAnsi="Arial Narrow" w:cs="Arial"/>
        </w:rPr>
        <w:t>Además de la falta de accesibilidad física en los lugares de votación, en el marco de las últimas elecciones que tuvieron lugar el pasado 11 de agosto de 2013, se detectó la inobservancia de criterios de accesibilidad en lo relativo a la información previa al acto eleccionario propiamente dicho. Al momento de la consulta electoral para conocer previamente el centro asignado, sólo era accesible la consulta telefónica pues la vía web del padrón electoral resultaba a todas vistas inaccesible debido a que para acceder a la información hay que introducir un código “</w:t>
      </w:r>
      <w:proofErr w:type="spellStart"/>
      <w:r>
        <w:rPr>
          <w:rFonts w:ascii="Arial Narrow" w:hAnsi="Arial Narrow" w:cs="Arial"/>
        </w:rPr>
        <w:t>Cap</w:t>
      </w:r>
      <w:r w:rsidRPr="00174C73">
        <w:rPr>
          <w:rFonts w:ascii="Arial Narrow" w:hAnsi="Arial Narrow" w:cs="Arial"/>
        </w:rPr>
        <w:t>cha</w:t>
      </w:r>
      <w:proofErr w:type="spellEnd"/>
      <w:r w:rsidRPr="00174C73">
        <w:rPr>
          <w:rFonts w:ascii="Arial Narrow" w:hAnsi="Arial Narrow" w:cs="Arial"/>
        </w:rPr>
        <w:t xml:space="preserve">” que es ilegible para los lectores de pantalla. </w:t>
      </w:r>
    </w:p>
    <w:p w:rsidR="00712A35" w:rsidRPr="00174C73" w:rsidRDefault="00712A35" w:rsidP="00712A35">
      <w:pPr>
        <w:ind w:right="49"/>
        <w:jc w:val="both"/>
        <w:rPr>
          <w:rFonts w:ascii="Arial Narrow" w:hAnsi="Arial Narrow" w:cs="Arial"/>
        </w:rPr>
      </w:pPr>
      <w:r w:rsidRPr="00174C73">
        <w:rPr>
          <w:rFonts w:ascii="Arial Narrow" w:hAnsi="Arial Narrow" w:cs="Arial"/>
        </w:rPr>
        <w:t>Por otra parte, los instrumentos y mecanismos de accesibilidad para personas con discapacidad visual no han innovado en contar con la boleta de votación en formato accesible. Es decir, tanto el COA como otros instrumentos, no han resuelto el acceso a la información -hasta ahora sólo en tinta- de la boleta donde constan datos de los candidatos y sus partidos políticos.</w:t>
      </w:r>
    </w:p>
    <w:p w:rsidR="00712A35" w:rsidRPr="00174C73" w:rsidRDefault="00712A35" w:rsidP="00712A35">
      <w:pPr>
        <w:ind w:right="49"/>
        <w:jc w:val="both"/>
        <w:rPr>
          <w:rFonts w:ascii="Arial Narrow" w:hAnsi="Arial Narrow" w:cs="Arial"/>
        </w:rPr>
      </w:pPr>
      <w:r w:rsidRPr="00174C73">
        <w:rPr>
          <w:rFonts w:ascii="Arial Narrow" w:hAnsi="Arial Narrow" w:cs="Arial"/>
        </w:rPr>
        <w:lastRenderedPageBreak/>
        <w:t xml:space="preserve">El plan de accesibilidad electoral vigente, establece que </w:t>
      </w:r>
      <w:r w:rsidRPr="00174C73">
        <w:rPr>
          <w:rFonts w:ascii="Arial Narrow" w:hAnsi="Arial Narrow" w:cs="Arial"/>
          <w:u w:val="single"/>
        </w:rPr>
        <w:t>en cada COA</w:t>
      </w:r>
      <w:r w:rsidRPr="00174C73">
        <w:rPr>
          <w:rFonts w:ascii="Arial Narrow" w:hAnsi="Arial Narrow" w:cs="Arial"/>
        </w:rPr>
        <w:t xml:space="preserve"> estará disponible el dispositivo para el voto de personas con discapacidad visual que permitirá</w:t>
      </w:r>
      <w:r w:rsidRPr="00174C73">
        <w:rPr>
          <w:rFonts w:ascii="Arial Narrow" w:hAnsi="Arial Narrow" w:cs="Arial"/>
          <w:i/>
        </w:rPr>
        <w:t xml:space="preserve"> identificar mediante el tacto las diferentes opciones de boletas electorales</w:t>
      </w:r>
      <w:r w:rsidRPr="00174C73">
        <w:rPr>
          <w:rFonts w:ascii="Arial Narrow" w:hAnsi="Arial Narrow" w:cs="Arial"/>
        </w:rPr>
        <w:t>. Nos preguntamos ¿por</w:t>
      </w:r>
      <w:r w:rsidR="00CF3080">
        <w:rPr>
          <w:rFonts w:ascii="Arial Narrow" w:hAnsi="Arial Narrow" w:cs="Arial"/>
        </w:rPr>
        <w:t xml:space="preserve"> </w:t>
      </w:r>
      <w:r w:rsidRPr="00174C73">
        <w:rPr>
          <w:rFonts w:ascii="Arial Narrow" w:hAnsi="Arial Narrow" w:cs="Arial"/>
        </w:rPr>
        <w:t>qu</w:t>
      </w:r>
      <w:r w:rsidR="00CF3080">
        <w:rPr>
          <w:rFonts w:ascii="Arial Narrow" w:hAnsi="Arial Narrow" w:cs="Arial"/>
        </w:rPr>
        <w:t>é</w:t>
      </w:r>
      <w:r w:rsidRPr="00174C73">
        <w:rPr>
          <w:rFonts w:ascii="Arial Narrow" w:hAnsi="Arial Narrow" w:cs="Arial"/>
        </w:rPr>
        <w:t xml:space="preserve"> sólo en el COA? Las boletas en formato accesible deberían estar disponibles en cada cuarto oscuro, si lo que se pretende </w:t>
      </w:r>
      <w:r w:rsidRPr="00174C73">
        <w:rPr>
          <w:rFonts w:ascii="Arial Narrow" w:hAnsi="Arial Narrow" w:cs="Arial"/>
          <w:i/>
        </w:rPr>
        <w:t>es garantizar la accesibilidad, confidencialidad e intimidad para el ejercicio de derechos políticos de las personas con discapacidad, en igualdad de condiciones con los demás; tal como proclama el Art. 105 de la Ley 26571</w:t>
      </w:r>
      <w:r w:rsidRPr="00174C73">
        <w:rPr>
          <w:rStyle w:val="FootnoteReference"/>
          <w:rFonts w:ascii="Arial Narrow" w:hAnsi="Arial Narrow" w:cs="Arial"/>
          <w:i/>
        </w:rPr>
        <w:footnoteReference w:id="20"/>
      </w:r>
      <w:r w:rsidRPr="00174C73">
        <w:rPr>
          <w:rFonts w:ascii="Arial Narrow" w:hAnsi="Arial Narrow" w:cs="Arial"/>
        </w:rPr>
        <w:t xml:space="preserve"> en aparente armonía con la CDPD.</w:t>
      </w:r>
    </w:p>
    <w:p w:rsidR="00712A35" w:rsidRPr="00174C73" w:rsidRDefault="00712A35" w:rsidP="00712A35">
      <w:pPr>
        <w:ind w:right="49"/>
        <w:jc w:val="both"/>
        <w:rPr>
          <w:rFonts w:ascii="Arial Narrow" w:hAnsi="Arial Narrow" w:cs="Arial"/>
        </w:rPr>
      </w:pPr>
      <w:r w:rsidRPr="00174C73">
        <w:rPr>
          <w:rFonts w:ascii="Arial Narrow" w:hAnsi="Arial Narrow" w:cs="Arial"/>
        </w:rPr>
        <w:t>Por su parte, el Artículo 94 del Código Nacional Electoral, prevé el Voto Asistido (lenguaje de la norma), al disponer: “</w:t>
      </w:r>
      <w:r w:rsidRPr="00174C73">
        <w:rPr>
          <w:rFonts w:ascii="Arial Narrow" w:hAnsi="Arial Narrow" w:cs="Arial"/>
          <w:i/>
        </w:rPr>
        <w:t>Los electores ciegos o con una discapacidad o condición física permanente o transitoria que impida, restrinja o dificulte el ejercicio del voto podrán sufragar asistidos por el presidente de mesa o una persona de su elección, que acredite debidamente su identidad, en los términos de la reglamentación que se dicte. Se dejará asentada esta circunstancia en el padrón de la mesa y en el acta de cierre de la misma, consignando los datos del elector y de la persona que lo asista. Ninguna persona, a excepción del presidente de mesa, podrá asistir a más de un elector en una misma elección</w:t>
      </w:r>
      <w:r w:rsidRPr="00174C73">
        <w:rPr>
          <w:rFonts w:ascii="Arial Narrow" w:hAnsi="Arial Narrow" w:cs="Arial"/>
        </w:rPr>
        <w:t xml:space="preserve">”.  No obstante, el hecho de que se contemple la posibilidad de ser asistido, no redunda necesariamente en una medida acorde con la CDPD; ello, dado que las personas con discapacidad, en este contexto, debido a la falta de previsiones de accesibilidad físicas y comunicacionales, </w:t>
      </w:r>
      <w:r w:rsidRPr="00174C73">
        <w:rPr>
          <w:rFonts w:ascii="Arial Narrow" w:hAnsi="Arial Narrow" w:cs="Arial"/>
          <w:u w:val="single"/>
        </w:rPr>
        <w:t>no tienen otra opción que la de requerir asistencia para poder votar</w:t>
      </w:r>
      <w:r w:rsidRPr="00174C73">
        <w:rPr>
          <w:rFonts w:ascii="Arial Narrow" w:hAnsi="Arial Narrow" w:cs="Arial"/>
        </w:rPr>
        <w:t>.</w:t>
      </w:r>
    </w:p>
    <w:p w:rsidR="00712A35" w:rsidRPr="00174C73" w:rsidRDefault="00712A35" w:rsidP="00712A35">
      <w:pPr>
        <w:ind w:right="49"/>
        <w:jc w:val="both"/>
        <w:rPr>
          <w:rFonts w:ascii="Arial Narrow" w:hAnsi="Arial Narrow" w:cs="Arial"/>
          <w:bCs/>
          <w:lang w:val="es-ES"/>
        </w:rPr>
      </w:pPr>
      <w:r w:rsidRPr="00174C73">
        <w:rPr>
          <w:rFonts w:ascii="Arial Narrow" w:hAnsi="Arial Narrow" w:cs="Arial"/>
          <w:bCs/>
          <w:lang w:val="es-ES"/>
        </w:rPr>
        <w:t>Ilustran esta preocupante situación las denuncias que se citan seguidamente y que fueran receptadas a través del sitio web de REDI, en el marco de la Campaña por el Derecho al Voto</w:t>
      </w:r>
      <w:r w:rsidRPr="00174C73">
        <w:rPr>
          <w:rStyle w:val="FootnoteReference"/>
          <w:rFonts w:ascii="Arial Narrow" w:hAnsi="Arial Narrow" w:cs="Arial"/>
          <w:bCs/>
          <w:lang w:val="es-ES"/>
        </w:rPr>
        <w:footnoteReference w:id="21"/>
      </w:r>
      <w:r w:rsidRPr="00174C73">
        <w:rPr>
          <w:rFonts w:ascii="Arial Narrow" w:hAnsi="Arial Narrow" w:cs="Arial"/>
          <w:bCs/>
          <w:lang w:val="es-ES"/>
        </w:rPr>
        <w:t xml:space="preserve"> lanzada en el mes de agosto de 2013, oportunidad en la que tuvieron lugar las Elecciones Primarias, Abiertas, Simultáneas y Obligatorias (PASO), de cara a las elecciones legislativas de octubre próximo:</w:t>
      </w:r>
    </w:p>
    <w:p w:rsidR="00712A35" w:rsidRPr="00174C73" w:rsidRDefault="00712A35" w:rsidP="00712A35">
      <w:pPr>
        <w:pStyle w:val="ListParagraph"/>
        <w:numPr>
          <w:ilvl w:val="0"/>
          <w:numId w:val="2"/>
        </w:numPr>
        <w:ind w:left="284" w:right="49" w:firstLine="76"/>
        <w:jc w:val="both"/>
        <w:rPr>
          <w:rFonts w:ascii="Arial Narrow" w:hAnsi="Arial Narrow" w:cs="Arial"/>
          <w:lang w:val="es-ES"/>
        </w:rPr>
      </w:pPr>
      <w:r w:rsidRPr="00174C73">
        <w:rPr>
          <w:rFonts w:ascii="Arial Narrow" w:hAnsi="Arial Narrow" w:cs="Arial"/>
          <w:color w:val="000000"/>
        </w:rPr>
        <w:t>“</w:t>
      </w:r>
      <w:r w:rsidRPr="00174C73">
        <w:rPr>
          <w:rFonts w:ascii="Arial Narrow" w:hAnsi="Arial Narrow" w:cs="Arial"/>
          <w:i/>
          <w:color w:val="000000"/>
        </w:rPr>
        <w:t xml:space="preserve">Voté en la Escuela 29, mesa 500, ubicada en República de Israel 284. Allí los gendarmes me informaron que había un cuarto oscuro accesible, lo cual no era así. No había COA, de hecho para ingresar a la escuela había 2 escalones, ni dispositivo para el voto de personas ciegas. Tampoco pude hacer la consulta al padrón por la web, ya que el </w:t>
      </w:r>
      <w:proofErr w:type="spellStart"/>
      <w:r w:rsidRPr="00174C73">
        <w:rPr>
          <w:rFonts w:ascii="Arial Narrow" w:hAnsi="Arial Narrow" w:cs="Arial"/>
          <w:i/>
          <w:color w:val="000000"/>
        </w:rPr>
        <w:t>capcha</w:t>
      </w:r>
      <w:proofErr w:type="spellEnd"/>
      <w:r w:rsidRPr="00174C73">
        <w:rPr>
          <w:rFonts w:ascii="Arial Narrow" w:hAnsi="Arial Narrow" w:cs="Arial"/>
          <w:i/>
          <w:color w:val="000000"/>
        </w:rPr>
        <w:t xml:space="preserve"> que había que ingresar para verificar, no era accesible para lectores de pantalla utilizados por personas ciegas”</w:t>
      </w:r>
      <w:r w:rsidR="0084717C">
        <w:rPr>
          <w:rFonts w:ascii="Arial Narrow" w:hAnsi="Arial Narrow" w:cs="Arial"/>
          <w:i/>
          <w:color w:val="000000"/>
        </w:rPr>
        <w:t>.</w:t>
      </w:r>
      <w:r w:rsidRPr="00174C73">
        <w:rPr>
          <w:rFonts w:ascii="Arial Narrow" w:hAnsi="Arial Narrow" w:cs="Arial"/>
          <w:color w:val="000000"/>
        </w:rPr>
        <w:t xml:space="preserve"> </w:t>
      </w:r>
      <w:r w:rsidR="0084717C">
        <w:rPr>
          <w:rFonts w:ascii="Arial Narrow" w:hAnsi="Arial Narrow" w:cs="Arial"/>
          <w:color w:val="000000"/>
        </w:rPr>
        <w:t>(</w:t>
      </w:r>
      <w:r w:rsidRPr="00174C73">
        <w:rPr>
          <w:rFonts w:ascii="Arial Narrow" w:hAnsi="Arial Narrow" w:cs="Arial"/>
          <w:color w:val="000000"/>
        </w:rPr>
        <w:t>San Martín, Provincia de Buenos Aires</w:t>
      </w:r>
      <w:r w:rsidR="0084717C">
        <w:rPr>
          <w:rFonts w:ascii="Arial Narrow" w:hAnsi="Arial Narrow" w:cs="Arial"/>
          <w:color w:val="000000"/>
        </w:rPr>
        <w:t>)</w:t>
      </w:r>
      <w:r w:rsidRPr="00174C73">
        <w:rPr>
          <w:rFonts w:ascii="Arial Narrow" w:hAnsi="Arial Narrow" w:cs="Arial"/>
          <w:color w:val="000000"/>
        </w:rPr>
        <w:t>.</w:t>
      </w:r>
    </w:p>
    <w:p w:rsidR="00712A35" w:rsidRPr="00174C73" w:rsidRDefault="00712A35" w:rsidP="00712A35">
      <w:pPr>
        <w:pStyle w:val="ListParagraph"/>
        <w:ind w:left="284" w:right="49" w:firstLine="76"/>
        <w:jc w:val="both"/>
        <w:rPr>
          <w:rFonts w:ascii="Arial Narrow" w:hAnsi="Arial Narrow" w:cs="Arial"/>
          <w:lang w:val="es-ES"/>
        </w:rPr>
      </w:pPr>
    </w:p>
    <w:p w:rsidR="00712A35" w:rsidRPr="00174C73" w:rsidRDefault="00712A35" w:rsidP="00712A35">
      <w:pPr>
        <w:pStyle w:val="ListParagraph"/>
        <w:numPr>
          <w:ilvl w:val="0"/>
          <w:numId w:val="2"/>
        </w:numPr>
        <w:ind w:left="284" w:right="49" w:firstLine="76"/>
        <w:jc w:val="both"/>
        <w:rPr>
          <w:rFonts w:ascii="Arial Narrow" w:hAnsi="Arial Narrow" w:cs="Arial"/>
          <w:lang w:val="es-ES"/>
        </w:rPr>
      </w:pPr>
      <w:r w:rsidRPr="00174C73">
        <w:rPr>
          <w:rFonts w:ascii="Arial Narrow" w:hAnsi="Arial Narrow" w:cs="Arial"/>
          <w:color w:val="000000"/>
        </w:rPr>
        <w:t xml:space="preserve"> “</w:t>
      </w:r>
      <w:r w:rsidRPr="00174C73">
        <w:rPr>
          <w:rFonts w:ascii="Arial Narrow" w:hAnsi="Arial Narrow" w:cs="Arial"/>
          <w:i/>
          <w:color w:val="000000"/>
        </w:rPr>
        <w:t>La mesa de votación (Nº 3149) estaba en la escuela nº 9, sita en Cnel. Ramón L. Falcón 2934 (CABA) y era inaccesible por tener una escalinata de 10 peldaños, con el COA instalado arriba de esa escalinata. Me informaron también que no había boletas adaptadas para personas ciegas”</w:t>
      </w:r>
      <w:r w:rsidR="0084717C">
        <w:rPr>
          <w:rFonts w:ascii="Arial Narrow" w:hAnsi="Arial Narrow" w:cs="Arial"/>
          <w:i/>
          <w:color w:val="000000"/>
        </w:rPr>
        <w:t>.</w:t>
      </w:r>
      <w:r w:rsidRPr="00174C73">
        <w:rPr>
          <w:rFonts w:ascii="Arial Narrow" w:hAnsi="Arial Narrow" w:cs="Arial"/>
          <w:color w:val="000000"/>
        </w:rPr>
        <w:t xml:space="preserve"> </w:t>
      </w:r>
      <w:r w:rsidR="0084717C">
        <w:rPr>
          <w:rFonts w:ascii="Arial Narrow" w:hAnsi="Arial Narrow" w:cs="Arial"/>
          <w:color w:val="000000"/>
        </w:rPr>
        <w:t>(</w:t>
      </w:r>
      <w:r w:rsidRPr="00174C73">
        <w:rPr>
          <w:rFonts w:ascii="Arial Narrow" w:hAnsi="Arial Narrow" w:cs="Arial"/>
          <w:color w:val="000000"/>
        </w:rPr>
        <w:t>Ciudad Autónoma de Buenos Aires</w:t>
      </w:r>
      <w:r w:rsidR="0084717C">
        <w:rPr>
          <w:rFonts w:ascii="Arial Narrow" w:hAnsi="Arial Narrow" w:cs="Arial"/>
          <w:color w:val="000000"/>
        </w:rPr>
        <w:t>)</w:t>
      </w:r>
      <w:r w:rsidRPr="00174C73">
        <w:rPr>
          <w:rFonts w:ascii="Arial Narrow" w:hAnsi="Arial Narrow" w:cs="Arial"/>
          <w:color w:val="000000"/>
        </w:rPr>
        <w:t>.</w:t>
      </w:r>
    </w:p>
    <w:p w:rsidR="00712A35" w:rsidRPr="00174C73" w:rsidRDefault="00712A35" w:rsidP="00712A35">
      <w:pPr>
        <w:pStyle w:val="ListParagraph"/>
        <w:ind w:left="284" w:right="49" w:firstLine="76"/>
        <w:jc w:val="both"/>
        <w:rPr>
          <w:rFonts w:ascii="Arial Narrow" w:hAnsi="Arial Narrow" w:cs="Arial"/>
          <w:lang w:val="es-ES"/>
        </w:rPr>
      </w:pPr>
    </w:p>
    <w:p w:rsidR="00712A35" w:rsidRPr="00174C73" w:rsidRDefault="00712A35" w:rsidP="00712A35">
      <w:pPr>
        <w:pStyle w:val="ListParagraph"/>
        <w:numPr>
          <w:ilvl w:val="0"/>
          <w:numId w:val="2"/>
        </w:numPr>
        <w:ind w:left="284" w:right="49" w:firstLine="76"/>
        <w:jc w:val="both"/>
        <w:rPr>
          <w:rFonts w:ascii="Arial Narrow" w:hAnsi="Arial Narrow" w:cs="Arial"/>
          <w:color w:val="000000"/>
        </w:rPr>
      </w:pPr>
      <w:r w:rsidRPr="00174C73">
        <w:rPr>
          <w:rFonts w:ascii="Arial Narrow" w:hAnsi="Arial Narrow" w:cs="Arial"/>
          <w:color w:val="000000"/>
        </w:rPr>
        <w:t>“</w:t>
      </w:r>
      <w:r w:rsidRPr="00174C73">
        <w:rPr>
          <w:rFonts w:ascii="Arial Narrow" w:hAnsi="Arial Narrow" w:cs="Arial"/>
          <w:i/>
          <w:color w:val="000000"/>
        </w:rPr>
        <w:t>Colegio Nacional Mariano Moreno, donde vot</w:t>
      </w:r>
      <w:r w:rsidR="0084717C">
        <w:rPr>
          <w:rFonts w:ascii="Arial Narrow" w:hAnsi="Arial Narrow" w:cs="Arial"/>
          <w:i/>
          <w:color w:val="000000"/>
        </w:rPr>
        <w:t>ó</w:t>
      </w:r>
      <w:r w:rsidRPr="00174C73">
        <w:rPr>
          <w:rFonts w:ascii="Arial Narrow" w:hAnsi="Arial Narrow" w:cs="Arial"/>
          <w:i/>
          <w:color w:val="000000"/>
        </w:rPr>
        <w:t xml:space="preserve"> mi hijo, ten</w:t>
      </w:r>
      <w:r w:rsidR="0084717C">
        <w:rPr>
          <w:rFonts w:ascii="Arial Narrow" w:hAnsi="Arial Narrow" w:cs="Arial"/>
          <w:i/>
          <w:color w:val="000000"/>
        </w:rPr>
        <w:t>í</w:t>
      </w:r>
      <w:r w:rsidR="00762B3E">
        <w:rPr>
          <w:rFonts w:ascii="Arial Narrow" w:hAnsi="Arial Narrow" w:cs="Arial"/>
          <w:i/>
          <w:color w:val="000000"/>
        </w:rPr>
        <w:t>a COA, pero se tení</w:t>
      </w:r>
      <w:r w:rsidRPr="00174C73">
        <w:rPr>
          <w:rFonts w:ascii="Arial Narrow" w:hAnsi="Arial Narrow" w:cs="Arial"/>
          <w:i/>
          <w:color w:val="000000"/>
        </w:rPr>
        <w:t xml:space="preserve">a que subir 9 escalones. </w:t>
      </w:r>
      <w:r w:rsidR="0084717C">
        <w:rPr>
          <w:rFonts w:ascii="Arial Narrow" w:hAnsi="Arial Narrow" w:cs="Arial"/>
          <w:i/>
          <w:color w:val="000000"/>
        </w:rPr>
        <w:t>S</w:t>
      </w:r>
      <w:r w:rsidRPr="00174C73">
        <w:rPr>
          <w:rFonts w:ascii="Arial Narrow" w:hAnsi="Arial Narrow" w:cs="Arial"/>
          <w:i/>
          <w:color w:val="000000"/>
        </w:rPr>
        <w:t>eg</w:t>
      </w:r>
      <w:r w:rsidR="0084717C">
        <w:rPr>
          <w:rFonts w:ascii="Arial Narrow" w:hAnsi="Arial Narrow" w:cs="Arial"/>
          <w:i/>
          <w:color w:val="000000"/>
        </w:rPr>
        <w:t>ú</w:t>
      </w:r>
      <w:r w:rsidRPr="00174C73">
        <w:rPr>
          <w:rFonts w:ascii="Arial Narrow" w:hAnsi="Arial Narrow" w:cs="Arial"/>
          <w:i/>
          <w:color w:val="000000"/>
        </w:rPr>
        <w:t>n me explic</w:t>
      </w:r>
      <w:r w:rsidR="0084717C">
        <w:rPr>
          <w:rFonts w:ascii="Arial Narrow" w:hAnsi="Arial Narrow" w:cs="Arial"/>
          <w:i/>
          <w:color w:val="000000"/>
        </w:rPr>
        <w:t>ó</w:t>
      </w:r>
      <w:r w:rsidRPr="00174C73">
        <w:rPr>
          <w:rFonts w:ascii="Arial Narrow" w:hAnsi="Arial Narrow" w:cs="Arial"/>
          <w:i/>
          <w:color w:val="000000"/>
        </w:rPr>
        <w:t xml:space="preserve"> el Gendarme, la escuela no le dejo el viernes la llave de la parte de atr</w:t>
      </w:r>
      <w:r w:rsidR="0084717C">
        <w:rPr>
          <w:rFonts w:ascii="Arial Narrow" w:hAnsi="Arial Narrow" w:cs="Arial"/>
          <w:i/>
          <w:color w:val="000000"/>
        </w:rPr>
        <w:t>á</w:t>
      </w:r>
      <w:r w:rsidRPr="00174C73">
        <w:rPr>
          <w:rFonts w:ascii="Arial Narrow" w:hAnsi="Arial Narrow" w:cs="Arial"/>
          <w:i/>
          <w:color w:val="000000"/>
        </w:rPr>
        <w:t xml:space="preserve">s, o </w:t>
      </w:r>
      <w:r w:rsidRPr="00174C73">
        <w:rPr>
          <w:rFonts w:ascii="Arial Narrow" w:hAnsi="Arial Narrow" w:cs="Arial"/>
          <w:i/>
          <w:color w:val="000000"/>
        </w:rPr>
        <w:lastRenderedPageBreak/>
        <w:t>sea por B. Mitre, que s</w:t>
      </w:r>
      <w:r w:rsidR="0084717C">
        <w:rPr>
          <w:rFonts w:ascii="Arial Narrow" w:hAnsi="Arial Narrow" w:cs="Arial"/>
          <w:i/>
          <w:color w:val="000000"/>
        </w:rPr>
        <w:t>í</w:t>
      </w:r>
      <w:r w:rsidRPr="00174C73">
        <w:rPr>
          <w:rFonts w:ascii="Arial Narrow" w:hAnsi="Arial Narrow" w:cs="Arial"/>
          <w:i/>
          <w:color w:val="000000"/>
        </w:rPr>
        <w:t xml:space="preserve"> es accesible. Escuela Primaria Mario Bravo 234, ten</w:t>
      </w:r>
      <w:r w:rsidR="0084717C">
        <w:rPr>
          <w:rFonts w:ascii="Arial Narrow" w:hAnsi="Arial Narrow" w:cs="Arial"/>
          <w:i/>
          <w:color w:val="000000"/>
        </w:rPr>
        <w:t>í</w:t>
      </w:r>
      <w:r w:rsidRPr="00174C73">
        <w:rPr>
          <w:rFonts w:ascii="Arial Narrow" w:hAnsi="Arial Narrow" w:cs="Arial"/>
          <w:i/>
          <w:color w:val="000000"/>
        </w:rPr>
        <w:t>a rampa de ingreso a la escuela, NO TEN</w:t>
      </w:r>
      <w:r w:rsidR="0084717C">
        <w:rPr>
          <w:rFonts w:ascii="Arial Narrow" w:hAnsi="Arial Narrow" w:cs="Arial"/>
          <w:i/>
          <w:color w:val="000000"/>
        </w:rPr>
        <w:t>Í</w:t>
      </w:r>
      <w:r w:rsidRPr="00174C73">
        <w:rPr>
          <w:rFonts w:ascii="Arial Narrow" w:hAnsi="Arial Narrow" w:cs="Arial"/>
          <w:i/>
          <w:color w:val="000000"/>
        </w:rPr>
        <w:t>A COA, y las aulas para votar estaban en primer piso por escalera”</w:t>
      </w:r>
      <w:r w:rsidR="0084717C">
        <w:rPr>
          <w:rFonts w:ascii="Arial Narrow" w:hAnsi="Arial Narrow" w:cs="Arial"/>
          <w:i/>
          <w:color w:val="000000"/>
        </w:rPr>
        <w:t>.</w:t>
      </w:r>
      <w:r w:rsidRPr="00174C73">
        <w:rPr>
          <w:rFonts w:ascii="Arial Narrow" w:hAnsi="Arial Narrow" w:cs="Arial"/>
          <w:i/>
          <w:color w:val="000000"/>
        </w:rPr>
        <w:t xml:space="preserve"> </w:t>
      </w:r>
      <w:r w:rsidR="0084717C">
        <w:rPr>
          <w:rFonts w:ascii="Arial Narrow" w:hAnsi="Arial Narrow" w:cs="Arial"/>
          <w:color w:val="000000"/>
        </w:rPr>
        <w:t>(</w:t>
      </w:r>
      <w:r w:rsidRPr="00174C73">
        <w:rPr>
          <w:rFonts w:ascii="Arial Narrow" w:hAnsi="Arial Narrow" w:cs="Arial"/>
          <w:color w:val="000000"/>
        </w:rPr>
        <w:t>Ciudad Autónoma de Buenos Aires</w:t>
      </w:r>
      <w:r w:rsidR="0084717C">
        <w:rPr>
          <w:rFonts w:ascii="Arial Narrow" w:hAnsi="Arial Narrow" w:cs="Arial"/>
          <w:color w:val="000000"/>
        </w:rPr>
        <w:t>)</w:t>
      </w:r>
      <w:r w:rsidRPr="00174C73">
        <w:rPr>
          <w:rFonts w:ascii="Arial Narrow" w:hAnsi="Arial Narrow" w:cs="Arial"/>
          <w:color w:val="000000"/>
        </w:rPr>
        <w:t>.</w:t>
      </w:r>
    </w:p>
    <w:p w:rsidR="00712A35" w:rsidRPr="00174C73" w:rsidRDefault="00712A35" w:rsidP="00712A35">
      <w:pPr>
        <w:pStyle w:val="ListParagraph"/>
        <w:ind w:left="284" w:right="49" w:firstLine="76"/>
        <w:jc w:val="both"/>
        <w:rPr>
          <w:rFonts w:ascii="Arial Narrow" w:hAnsi="Arial Narrow" w:cs="Arial"/>
          <w:color w:val="000000"/>
        </w:rPr>
      </w:pPr>
    </w:p>
    <w:p w:rsidR="00712A35" w:rsidRPr="00174C73" w:rsidRDefault="00712A35" w:rsidP="00712A35">
      <w:pPr>
        <w:pStyle w:val="ListParagraph"/>
        <w:numPr>
          <w:ilvl w:val="0"/>
          <w:numId w:val="2"/>
        </w:numPr>
        <w:ind w:left="284" w:right="49" w:firstLine="76"/>
        <w:jc w:val="both"/>
        <w:rPr>
          <w:rFonts w:ascii="Arial Narrow" w:hAnsi="Arial Narrow" w:cs="Arial"/>
          <w:lang w:val="es-ES"/>
        </w:rPr>
      </w:pPr>
      <w:r w:rsidRPr="00174C73">
        <w:rPr>
          <w:rFonts w:ascii="Arial Narrow" w:hAnsi="Arial Narrow" w:cs="Arial"/>
          <w:color w:val="000000"/>
          <w:lang w:val="es-ES"/>
        </w:rPr>
        <w:t>“</w:t>
      </w:r>
      <w:r w:rsidRPr="00174C73">
        <w:rPr>
          <w:rFonts w:ascii="Arial Narrow" w:hAnsi="Arial Narrow" w:cs="Arial"/>
          <w:i/>
          <w:color w:val="000000"/>
        </w:rPr>
        <w:t xml:space="preserve">Lugar de votación: escuela </w:t>
      </w:r>
      <w:r w:rsidR="0084717C">
        <w:rPr>
          <w:rFonts w:ascii="Arial Narrow" w:hAnsi="Arial Narrow" w:cs="Arial"/>
          <w:i/>
          <w:color w:val="000000"/>
        </w:rPr>
        <w:t>M</w:t>
      </w:r>
      <w:r w:rsidRPr="00174C73">
        <w:rPr>
          <w:rFonts w:ascii="Arial Narrow" w:hAnsi="Arial Narrow" w:cs="Arial"/>
          <w:i/>
          <w:color w:val="000000"/>
        </w:rPr>
        <w:t xml:space="preserve">ariano </w:t>
      </w:r>
      <w:r w:rsidR="0084717C">
        <w:rPr>
          <w:rFonts w:ascii="Arial Narrow" w:hAnsi="Arial Narrow" w:cs="Arial"/>
          <w:i/>
          <w:color w:val="000000"/>
        </w:rPr>
        <w:t>M</w:t>
      </w:r>
      <w:r w:rsidRPr="00174C73">
        <w:rPr>
          <w:rFonts w:ascii="Arial Narrow" w:hAnsi="Arial Narrow" w:cs="Arial"/>
          <w:i/>
          <w:color w:val="000000"/>
        </w:rPr>
        <w:t>oreno (</w:t>
      </w:r>
      <w:r w:rsidR="0084717C">
        <w:rPr>
          <w:rFonts w:ascii="Arial Narrow" w:hAnsi="Arial Narrow" w:cs="Arial"/>
          <w:i/>
          <w:color w:val="000000"/>
        </w:rPr>
        <w:t>P</w:t>
      </w:r>
      <w:r w:rsidRPr="00174C73">
        <w:rPr>
          <w:rFonts w:ascii="Arial Narrow" w:hAnsi="Arial Narrow" w:cs="Arial"/>
          <w:i/>
          <w:color w:val="000000"/>
        </w:rPr>
        <w:t xml:space="preserve">araguay 1251) Fecha: 11-08-2013 el colegio tenía varios escalones en la entrada que, si bien no era problema para mí, para alguien con motricidad reducida lo hubiera sido. </w:t>
      </w:r>
      <w:r w:rsidR="0084717C">
        <w:rPr>
          <w:rFonts w:ascii="Arial Narrow" w:hAnsi="Arial Narrow" w:cs="Arial"/>
          <w:i/>
          <w:color w:val="000000"/>
        </w:rPr>
        <w:t>N</w:t>
      </w:r>
      <w:r w:rsidRPr="00174C73">
        <w:rPr>
          <w:rFonts w:ascii="Arial Narrow" w:hAnsi="Arial Narrow" w:cs="Arial"/>
          <w:i/>
          <w:color w:val="000000"/>
        </w:rPr>
        <w:t xml:space="preserve">o se instaló el cuarto accesible. </w:t>
      </w:r>
      <w:r w:rsidR="0084717C">
        <w:rPr>
          <w:rFonts w:ascii="Arial Narrow" w:hAnsi="Arial Narrow" w:cs="Arial"/>
          <w:i/>
          <w:color w:val="000000"/>
        </w:rPr>
        <w:t>N</w:t>
      </w:r>
      <w:r w:rsidRPr="00174C73">
        <w:rPr>
          <w:rFonts w:ascii="Arial Narrow" w:hAnsi="Arial Narrow" w:cs="Arial"/>
          <w:i/>
          <w:color w:val="000000"/>
        </w:rPr>
        <w:t xml:space="preserve">o se colocó el boletero numerado. </w:t>
      </w:r>
      <w:r w:rsidR="0084717C">
        <w:rPr>
          <w:rFonts w:ascii="Arial Narrow" w:hAnsi="Arial Narrow" w:cs="Arial"/>
          <w:i/>
          <w:color w:val="000000"/>
        </w:rPr>
        <w:t>N</w:t>
      </w:r>
      <w:r w:rsidRPr="00174C73">
        <w:rPr>
          <w:rFonts w:ascii="Arial Narrow" w:hAnsi="Arial Narrow" w:cs="Arial"/>
          <w:i/>
          <w:color w:val="000000"/>
        </w:rPr>
        <w:t>o me proveyeron de la plantilla para marcar la boleta única”</w:t>
      </w:r>
      <w:r w:rsidR="0084717C">
        <w:rPr>
          <w:rFonts w:ascii="Arial Narrow" w:hAnsi="Arial Narrow" w:cs="Arial"/>
          <w:i/>
          <w:color w:val="000000"/>
        </w:rPr>
        <w:t>.</w:t>
      </w:r>
      <w:r w:rsidRPr="00174C73">
        <w:rPr>
          <w:rFonts w:ascii="Arial Narrow" w:hAnsi="Arial Narrow" w:cs="Arial"/>
          <w:color w:val="000000"/>
        </w:rPr>
        <w:t xml:space="preserve"> </w:t>
      </w:r>
      <w:r w:rsidR="0084717C">
        <w:rPr>
          <w:rFonts w:ascii="Arial Narrow" w:hAnsi="Arial Narrow" w:cs="Arial"/>
          <w:color w:val="000000"/>
        </w:rPr>
        <w:t>(</w:t>
      </w:r>
      <w:r w:rsidRPr="00174C73">
        <w:rPr>
          <w:rFonts w:ascii="Arial Narrow" w:hAnsi="Arial Narrow" w:cs="Arial"/>
          <w:color w:val="000000"/>
        </w:rPr>
        <w:t>Rosario, Provincia de Santa Fe</w:t>
      </w:r>
      <w:r w:rsidR="0084717C">
        <w:rPr>
          <w:rFonts w:ascii="Arial Narrow" w:hAnsi="Arial Narrow" w:cs="Arial"/>
          <w:color w:val="000000"/>
        </w:rPr>
        <w:t>)</w:t>
      </w:r>
      <w:r w:rsidRPr="00174C73">
        <w:rPr>
          <w:rFonts w:ascii="Arial Narrow" w:hAnsi="Arial Narrow" w:cs="Arial"/>
          <w:color w:val="000000"/>
        </w:rPr>
        <w:t>.</w:t>
      </w:r>
    </w:p>
    <w:p w:rsidR="00712A35" w:rsidRPr="00174C73" w:rsidRDefault="00712A35" w:rsidP="00712A35">
      <w:pPr>
        <w:pStyle w:val="ListParagraph"/>
        <w:ind w:left="284" w:right="49" w:firstLine="76"/>
        <w:jc w:val="both"/>
        <w:rPr>
          <w:rFonts w:ascii="Arial Narrow" w:hAnsi="Arial Narrow" w:cs="Arial"/>
          <w:lang w:val="es-ES"/>
        </w:rPr>
      </w:pPr>
    </w:p>
    <w:p w:rsidR="00712A35" w:rsidRPr="00174C73" w:rsidRDefault="00712A35" w:rsidP="00712A35">
      <w:pPr>
        <w:pStyle w:val="ListParagraph"/>
        <w:numPr>
          <w:ilvl w:val="0"/>
          <w:numId w:val="2"/>
        </w:numPr>
        <w:ind w:left="284" w:right="49" w:firstLine="76"/>
        <w:jc w:val="both"/>
        <w:rPr>
          <w:rFonts w:ascii="Arial Narrow" w:hAnsi="Arial Narrow" w:cs="Arial"/>
          <w:lang w:val="es-ES"/>
        </w:rPr>
      </w:pPr>
      <w:r w:rsidRPr="00174C73">
        <w:rPr>
          <w:rFonts w:ascii="Arial Narrow" w:hAnsi="Arial Narrow" w:cs="Arial"/>
          <w:color w:val="000000"/>
        </w:rPr>
        <w:t xml:space="preserve"> </w:t>
      </w:r>
      <w:r w:rsidRPr="00174C73">
        <w:rPr>
          <w:rFonts w:ascii="Arial Narrow" w:hAnsi="Arial Narrow" w:cs="Arial"/>
          <w:i/>
          <w:color w:val="000000"/>
        </w:rPr>
        <w:t xml:space="preserve">“Escuela Nº 3 </w:t>
      </w:r>
      <w:proofErr w:type="spellStart"/>
      <w:r w:rsidRPr="00174C73">
        <w:rPr>
          <w:rFonts w:ascii="Arial Narrow" w:hAnsi="Arial Narrow" w:cs="Arial"/>
          <w:i/>
          <w:color w:val="000000"/>
        </w:rPr>
        <w:t>Zapiola</w:t>
      </w:r>
      <w:proofErr w:type="spellEnd"/>
      <w:r w:rsidRPr="00174C73">
        <w:rPr>
          <w:rFonts w:ascii="Arial Narrow" w:hAnsi="Arial Narrow" w:cs="Arial"/>
          <w:i/>
          <w:color w:val="000000"/>
        </w:rPr>
        <w:t>.- J.V. González 180  dec</w:t>
      </w:r>
      <w:r w:rsidR="0084717C">
        <w:rPr>
          <w:rFonts w:ascii="Arial Narrow" w:hAnsi="Arial Narrow" w:cs="Arial"/>
          <w:i/>
          <w:color w:val="000000"/>
        </w:rPr>
        <w:t>í</w:t>
      </w:r>
      <w:r w:rsidRPr="00174C73">
        <w:rPr>
          <w:rFonts w:ascii="Arial Narrow" w:hAnsi="Arial Narrow" w:cs="Arial"/>
          <w:i/>
          <w:color w:val="000000"/>
        </w:rPr>
        <w:t>a escuela accesible y para ingresar tenía dos escalones.</w:t>
      </w:r>
      <w:r w:rsidR="00E0222C">
        <w:rPr>
          <w:rFonts w:ascii="Arial Narrow" w:hAnsi="Arial Narrow" w:cs="Arial"/>
          <w:i/>
          <w:color w:val="000000"/>
        </w:rPr>
        <w:t xml:space="preserve"> </w:t>
      </w:r>
      <w:r w:rsidR="0084717C">
        <w:rPr>
          <w:rFonts w:ascii="Arial Narrow" w:hAnsi="Arial Narrow" w:cs="Arial"/>
          <w:i/>
          <w:color w:val="000000"/>
        </w:rPr>
        <w:t>E</w:t>
      </w:r>
      <w:r w:rsidRPr="00174C73">
        <w:rPr>
          <w:rFonts w:ascii="Arial Narrow" w:hAnsi="Arial Narrow" w:cs="Arial"/>
          <w:i/>
          <w:color w:val="000000"/>
        </w:rPr>
        <w:t>l cuarto oscuro, de la mesa 4581, que me toc</w:t>
      </w:r>
      <w:r w:rsidR="0084717C">
        <w:rPr>
          <w:rFonts w:ascii="Arial Narrow" w:hAnsi="Arial Narrow" w:cs="Arial"/>
          <w:i/>
          <w:color w:val="000000"/>
        </w:rPr>
        <w:t>ó</w:t>
      </w:r>
      <w:r w:rsidRPr="00174C73">
        <w:rPr>
          <w:rFonts w:ascii="Arial Narrow" w:hAnsi="Arial Narrow" w:cs="Arial"/>
          <w:i/>
          <w:color w:val="000000"/>
        </w:rPr>
        <w:t xml:space="preserve"> votar a m</w:t>
      </w:r>
      <w:r w:rsidR="0084717C">
        <w:rPr>
          <w:rFonts w:ascii="Arial Narrow" w:hAnsi="Arial Narrow" w:cs="Arial"/>
          <w:i/>
          <w:color w:val="000000"/>
        </w:rPr>
        <w:t>í</w:t>
      </w:r>
      <w:r w:rsidRPr="00174C73">
        <w:rPr>
          <w:rFonts w:ascii="Arial Narrow" w:hAnsi="Arial Narrow" w:cs="Arial"/>
          <w:i/>
          <w:color w:val="000000"/>
        </w:rPr>
        <w:t xml:space="preserve"> personalmente, era como un biombo de cartones hecho manualmente en forma de U, muy desprolijo y la altura donde estaban las boletas no era para personas baja estatura inaccesible”.</w:t>
      </w:r>
      <w:r w:rsidRPr="00174C73">
        <w:rPr>
          <w:rFonts w:ascii="Arial Narrow" w:hAnsi="Arial Narrow" w:cs="Arial"/>
          <w:color w:val="000000"/>
        </w:rPr>
        <w:t xml:space="preserve"> </w:t>
      </w:r>
      <w:r w:rsidR="0084717C">
        <w:rPr>
          <w:rFonts w:ascii="Arial Narrow" w:hAnsi="Arial Narrow" w:cs="Arial"/>
          <w:color w:val="000000"/>
        </w:rPr>
        <w:t>(</w:t>
      </w:r>
      <w:r w:rsidRPr="00174C73">
        <w:rPr>
          <w:rFonts w:ascii="Arial Narrow" w:hAnsi="Arial Narrow" w:cs="Arial"/>
          <w:color w:val="000000"/>
        </w:rPr>
        <w:t>Morón</w:t>
      </w:r>
      <w:r w:rsidR="0084717C">
        <w:rPr>
          <w:rFonts w:ascii="Arial Narrow" w:hAnsi="Arial Narrow" w:cs="Arial"/>
          <w:color w:val="000000"/>
        </w:rPr>
        <w:t>).</w:t>
      </w:r>
    </w:p>
    <w:p w:rsidR="00712A35" w:rsidRPr="00174C73" w:rsidRDefault="00712A35" w:rsidP="00712A35">
      <w:pPr>
        <w:pStyle w:val="ListParagraph"/>
        <w:ind w:left="284" w:firstLine="76"/>
        <w:rPr>
          <w:rFonts w:ascii="Arial Narrow" w:hAnsi="Arial Narrow" w:cs="Arial"/>
          <w:i/>
          <w:color w:val="000000"/>
        </w:rPr>
      </w:pPr>
    </w:p>
    <w:p w:rsidR="00712A35" w:rsidRPr="00174C73" w:rsidRDefault="00712A35" w:rsidP="00712A35">
      <w:pPr>
        <w:pStyle w:val="ListParagraph"/>
        <w:numPr>
          <w:ilvl w:val="0"/>
          <w:numId w:val="2"/>
        </w:numPr>
        <w:ind w:left="284" w:right="49" w:firstLine="76"/>
        <w:jc w:val="both"/>
        <w:rPr>
          <w:rFonts w:ascii="Arial Narrow" w:hAnsi="Arial Narrow" w:cs="Arial"/>
          <w:lang w:val="es-ES"/>
        </w:rPr>
      </w:pPr>
      <w:r w:rsidRPr="00174C73">
        <w:rPr>
          <w:rFonts w:ascii="Arial Narrow" w:hAnsi="Arial Narrow" w:cs="Arial"/>
          <w:i/>
          <w:color w:val="000000"/>
        </w:rPr>
        <w:t>“Me tocaba votar en La Escuela Comercial de Los Hornos, mesa 577, no pude acceder al establecimiento por la inaccesibilidad de la escuela, no bajó el presidente de mesa a atender mi caso, un fiscal que me acompañó de otra escuela cercana para ver si podía resolver mi situación habló con la Delegada Municipal que se fue sin darme una respuesta, pedí un libro para dejar asentada mi queja y no había disponible ni me dieron constancia de haber ido a votar y no haberme permitido expresarme en las urnas</w:t>
      </w:r>
      <w:r w:rsidRPr="00174C73">
        <w:rPr>
          <w:rFonts w:ascii="Arial Narrow" w:hAnsi="Arial Narrow" w:cs="Arial"/>
          <w:color w:val="000000"/>
        </w:rPr>
        <w:t xml:space="preserve">”. </w:t>
      </w:r>
      <w:r w:rsidR="0084717C">
        <w:rPr>
          <w:rFonts w:ascii="Arial Narrow" w:hAnsi="Arial Narrow" w:cs="Arial"/>
          <w:color w:val="000000"/>
        </w:rPr>
        <w:t>(</w:t>
      </w:r>
      <w:r w:rsidRPr="00174C73">
        <w:rPr>
          <w:rFonts w:ascii="Arial Narrow" w:hAnsi="Arial Narrow" w:cs="Arial"/>
          <w:color w:val="000000"/>
        </w:rPr>
        <w:t>La Plata, Provincia de Buenos Aires</w:t>
      </w:r>
      <w:r w:rsidR="0084717C">
        <w:rPr>
          <w:rFonts w:ascii="Arial Narrow" w:hAnsi="Arial Narrow" w:cs="Arial"/>
          <w:color w:val="000000"/>
        </w:rPr>
        <w:t>)</w:t>
      </w:r>
      <w:r w:rsidRPr="00174C73">
        <w:rPr>
          <w:rFonts w:ascii="Arial Narrow" w:hAnsi="Arial Narrow" w:cs="Arial"/>
          <w:color w:val="000000"/>
        </w:rPr>
        <w:t>.</w:t>
      </w:r>
    </w:p>
    <w:p w:rsidR="00712A35" w:rsidRPr="00174C73" w:rsidRDefault="00712A35" w:rsidP="00712A35">
      <w:pPr>
        <w:pStyle w:val="ListParagraph"/>
        <w:ind w:left="284" w:firstLine="76"/>
        <w:rPr>
          <w:rFonts w:ascii="Arial Narrow" w:hAnsi="Arial Narrow" w:cs="Arial"/>
          <w:color w:val="000000"/>
          <w:lang w:val="es-ES"/>
        </w:rPr>
      </w:pPr>
    </w:p>
    <w:p w:rsidR="00712A35" w:rsidRPr="00174C73" w:rsidRDefault="00712A35" w:rsidP="00712A35">
      <w:pPr>
        <w:pStyle w:val="ListParagraph"/>
        <w:numPr>
          <w:ilvl w:val="0"/>
          <w:numId w:val="2"/>
        </w:numPr>
        <w:ind w:left="284" w:right="49" w:firstLine="76"/>
        <w:jc w:val="both"/>
        <w:rPr>
          <w:rFonts w:ascii="Arial Narrow" w:hAnsi="Arial Narrow" w:cs="Arial"/>
          <w:lang w:val="es-ES"/>
        </w:rPr>
      </w:pPr>
      <w:r w:rsidRPr="00174C73">
        <w:rPr>
          <w:rFonts w:ascii="Arial Narrow" w:hAnsi="Arial Narrow" w:cs="Arial"/>
          <w:color w:val="000000"/>
          <w:lang w:val="es-ES"/>
        </w:rPr>
        <w:t>“</w:t>
      </w:r>
      <w:r w:rsidRPr="00174C73">
        <w:rPr>
          <w:rFonts w:ascii="Arial Narrow" w:hAnsi="Arial Narrow" w:cs="Arial"/>
          <w:i/>
          <w:color w:val="000000"/>
        </w:rPr>
        <w:t>El 11 de agosto en el marco de las elecciones primarias, en la Escuela Nº 2 República de Panamá, ubicada en Av. San Martin Nro. 6387, Villa Devoto, Ciudad de Buenos Aires, mesa 5069, en la cual fui designada autoridad de mesa se presentó a votar un señor el cual me requirió que sacara del padrón a dos personas que figuraban en él, con el mismo apellido, ya que eran sus hijos y eran discapacitados y</w:t>
      </w:r>
      <w:r w:rsidR="0084717C">
        <w:rPr>
          <w:rFonts w:ascii="Arial Narrow" w:hAnsi="Arial Narrow" w:cs="Arial"/>
          <w:i/>
          <w:color w:val="000000"/>
        </w:rPr>
        <w:t xml:space="preserve"> é</w:t>
      </w:r>
      <w:r w:rsidRPr="00174C73">
        <w:rPr>
          <w:rFonts w:ascii="Arial Narrow" w:hAnsi="Arial Narrow" w:cs="Arial"/>
          <w:i/>
          <w:color w:val="000000"/>
        </w:rPr>
        <w:t>l no quería luego tener algún problema porque no votaron o tener que efectuar algún tipo de tr</w:t>
      </w:r>
      <w:r w:rsidR="0084717C">
        <w:rPr>
          <w:rFonts w:ascii="Arial Narrow" w:hAnsi="Arial Narrow" w:cs="Arial"/>
          <w:i/>
          <w:color w:val="000000"/>
        </w:rPr>
        <w:t>á</w:t>
      </w:r>
      <w:r w:rsidRPr="00174C73">
        <w:rPr>
          <w:rFonts w:ascii="Arial Narrow" w:hAnsi="Arial Narrow" w:cs="Arial"/>
          <w:i/>
          <w:color w:val="000000"/>
        </w:rPr>
        <w:t>mite al respecto. Se dirigió a la Fiscal General y le pidió que dejara constancia de ello.</w:t>
      </w:r>
      <w:r w:rsidRPr="00174C73">
        <w:rPr>
          <w:rFonts w:ascii="Arial Narrow" w:hAnsi="Arial Narrow" w:cs="Arial"/>
          <w:color w:val="000000"/>
        </w:rPr>
        <w:t xml:space="preserve"> </w:t>
      </w:r>
      <w:r w:rsidR="0084717C">
        <w:rPr>
          <w:rFonts w:ascii="Arial Narrow" w:hAnsi="Arial Narrow" w:cs="Arial"/>
          <w:color w:val="000000"/>
        </w:rPr>
        <w:t>(</w:t>
      </w:r>
      <w:r w:rsidRPr="00174C73">
        <w:rPr>
          <w:rFonts w:ascii="Arial Narrow" w:hAnsi="Arial Narrow" w:cs="Arial"/>
          <w:color w:val="000000"/>
        </w:rPr>
        <w:t>CABA</w:t>
      </w:r>
      <w:r w:rsidR="0084717C">
        <w:rPr>
          <w:rFonts w:ascii="Arial Narrow" w:hAnsi="Arial Narrow" w:cs="Arial"/>
          <w:color w:val="000000"/>
        </w:rPr>
        <w:t>).</w:t>
      </w:r>
      <w:r w:rsidR="00121669">
        <w:rPr>
          <w:rStyle w:val="FootnoteReference"/>
          <w:rFonts w:ascii="Arial Narrow" w:hAnsi="Arial Narrow"/>
          <w:color w:val="000000"/>
        </w:rPr>
        <w:footnoteReference w:id="22"/>
      </w:r>
    </w:p>
    <w:p w:rsidR="00712A35" w:rsidRPr="00174C73" w:rsidRDefault="00712A35" w:rsidP="00712A35">
      <w:pPr>
        <w:pStyle w:val="ListParagraph"/>
        <w:ind w:left="284" w:firstLine="76"/>
        <w:rPr>
          <w:rFonts w:ascii="Arial Narrow" w:hAnsi="Arial Narrow" w:cs="Arial"/>
          <w:i/>
          <w:color w:val="000000"/>
        </w:rPr>
      </w:pPr>
    </w:p>
    <w:p w:rsidR="00914104" w:rsidRPr="001871B6" w:rsidRDefault="00712A35" w:rsidP="00363731">
      <w:pPr>
        <w:pStyle w:val="ListParagraph"/>
        <w:numPr>
          <w:ilvl w:val="0"/>
          <w:numId w:val="2"/>
        </w:numPr>
        <w:ind w:left="284" w:right="49" w:firstLine="76"/>
        <w:jc w:val="both"/>
      </w:pPr>
      <w:r w:rsidRPr="00363731">
        <w:rPr>
          <w:rFonts w:ascii="Arial Narrow" w:hAnsi="Arial Narrow" w:cs="Arial"/>
          <w:i/>
          <w:color w:val="000000"/>
        </w:rPr>
        <w:t>“Me present</w:t>
      </w:r>
      <w:r w:rsidR="00C847DB" w:rsidRPr="00363731">
        <w:rPr>
          <w:rFonts w:ascii="Arial Narrow" w:hAnsi="Arial Narrow" w:cs="Arial"/>
          <w:i/>
          <w:color w:val="000000"/>
        </w:rPr>
        <w:t>é</w:t>
      </w:r>
      <w:r w:rsidRPr="00363731">
        <w:rPr>
          <w:rFonts w:ascii="Arial Narrow" w:hAnsi="Arial Narrow" w:cs="Arial"/>
          <w:i/>
          <w:color w:val="000000"/>
        </w:rPr>
        <w:t xml:space="preserve"> a votar y a fiscalizar a la hora de apertura de la escuela. ESC Nº4 CNEL ISIDRO SUAREZ VENEZUELA 771 - CAP FED. Las mesas estaban en primer piso pero no se podía subir porque no había ascensores ni rampas. Vote por lo menos </w:t>
      </w:r>
      <w:r w:rsidR="00C847DB" w:rsidRPr="00363731">
        <w:rPr>
          <w:rFonts w:ascii="Arial Narrow" w:hAnsi="Arial Narrow" w:cs="Arial"/>
          <w:i/>
          <w:color w:val="000000"/>
        </w:rPr>
        <w:t xml:space="preserve">una </w:t>
      </w:r>
      <w:r w:rsidRPr="00363731">
        <w:rPr>
          <w:rFonts w:ascii="Arial Narrow" w:hAnsi="Arial Narrow" w:cs="Arial"/>
          <w:i/>
          <w:color w:val="000000"/>
        </w:rPr>
        <w:t>hora después. Primero negaban que la urna se pudiera bajar lo que me hizo pasar un mal momento. Luego no encontraban el lugar donde debían habilitar un cuarto oscuro en la planta baja. Hicieron un acta. Me fui sin poder ejercer mi derecho político a fiscalizar a mi partido porque no pude acceder a las mesas”</w:t>
      </w:r>
      <w:r w:rsidR="00C847DB" w:rsidRPr="00363731">
        <w:rPr>
          <w:rFonts w:ascii="Arial Narrow" w:hAnsi="Arial Narrow" w:cs="Arial"/>
          <w:i/>
          <w:color w:val="000000"/>
        </w:rPr>
        <w:t>.</w:t>
      </w:r>
      <w:r w:rsidRPr="00363731">
        <w:rPr>
          <w:rFonts w:ascii="Arial Narrow" w:hAnsi="Arial Narrow" w:cs="Arial"/>
          <w:i/>
          <w:color w:val="000000"/>
        </w:rPr>
        <w:t xml:space="preserve"> </w:t>
      </w:r>
      <w:r w:rsidR="00C847DB" w:rsidRPr="00363731">
        <w:rPr>
          <w:rFonts w:ascii="Arial Narrow" w:hAnsi="Arial Narrow" w:cs="Arial"/>
          <w:color w:val="000000"/>
        </w:rPr>
        <w:t>(</w:t>
      </w:r>
      <w:r w:rsidRPr="00363731">
        <w:rPr>
          <w:rFonts w:ascii="Arial Narrow" w:hAnsi="Arial Narrow" w:cs="Arial"/>
          <w:color w:val="000000"/>
        </w:rPr>
        <w:t>Ciudad Autónoma de Buenos Aires</w:t>
      </w:r>
      <w:r w:rsidR="00C847DB" w:rsidRPr="00363731">
        <w:rPr>
          <w:rFonts w:ascii="Arial Narrow" w:hAnsi="Arial Narrow" w:cs="Arial"/>
          <w:color w:val="000000"/>
        </w:rPr>
        <w:t>)</w:t>
      </w:r>
      <w:r w:rsidRPr="00363731">
        <w:rPr>
          <w:rFonts w:ascii="Arial Narrow" w:hAnsi="Arial Narrow" w:cs="Arial"/>
          <w:color w:val="000000"/>
        </w:rPr>
        <w:t>.</w:t>
      </w:r>
    </w:p>
    <w:p w:rsidR="001871B6" w:rsidRDefault="001871B6" w:rsidP="001871B6">
      <w:pPr>
        <w:pStyle w:val="ListParagraph"/>
      </w:pPr>
    </w:p>
    <w:p w:rsidR="001871B6" w:rsidRDefault="001871B6" w:rsidP="001871B6">
      <w:pPr>
        <w:ind w:right="49"/>
        <w:jc w:val="both"/>
      </w:pPr>
    </w:p>
    <w:p w:rsidR="001871B6" w:rsidRPr="001871B6" w:rsidRDefault="001871B6" w:rsidP="001871B6">
      <w:pPr>
        <w:ind w:right="49"/>
        <w:jc w:val="both"/>
      </w:pPr>
    </w:p>
    <w:p w:rsidR="001871B6" w:rsidRDefault="001871B6" w:rsidP="001871B6">
      <w:pPr>
        <w:pStyle w:val="ListParagraph"/>
      </w:pPr>
    </w:p>
    <w:p w:rsidR="001871B6" w:rsidRPr="00FA542F" w:rsidRDefault="001871B6" w:rsidP="00FA542F">
      <w:pPr>
        <w:ind w:right="49"/>
        <w:jc w:val="both"/>
        <w:rPr>
          <w:rFonts w:ascii="Arial Narrow" w:hAnsi="Arial Narrow"/>
        </w:rPr>
      </w:pPr>
      <w:r w:rsidRPr="00FA542F">
        <w:rPr>
          <w:rFonts w:ascii="Arial Narrow" w:hAnsi="Arial Narrow"/>
          <w:b/>
          <w:u w:val="single"/>
        </w:rPr>
        <w:lastRenderedPageBreak/>
        <w:t>Presentación de las Organizaciones</w:t>
      </w:r>
    </w:p>
    <w:p w:rsidR="001871B6" w:rsidRPr="005D40AB" w:rsidRDefault="001871B6" w:rsidP="001871B6">
      <w:pPr>
        <w:spacing w:line="240" w:lineRule="auto"/>
        <w:jc w:val="both"/>
        <w:rPr>
          <w:rFonts w:ascii="Arial Narrow" w:hAnsi="Arial Narrow" w:cs="Arial"/>
          <w:b/>
        </w:rPr>
      </w:pPr>
      <w:r w:rsidRPr="005D40AB">
        <w:rPr>
          <w:rFonts w:ascii="Arial Narrow" w:hAnsi="Arial Narrow" w:cs="Arial"/>
          <w:b/>
        </w:rPr>
        <w:t>REDI - Red por los Derechos de las Personas con Discapacidad</w:t>
      </w:r>
      <w:r w:rsidRPr="005D40AB">
        <w:rPr>
          <w:rStyle w:val="FootnoteReference"/>
          <w:rFonts w:ascii="Arial Narrow" w:hAnsi="Arial Narrow"/>
          <w:b/>
        </w:rPr>
        <w:footnoteReference w:id="23"/>
      </w:r>
    </w:p>
    <w:p w:rsidR="001871B6" w:rsidRPr="005D40AB" w:rsidRDefault="001871B6" w:rsidP="001871B6">
      <w:pPr>
        <w:spacing w:line="240" w:lineRule="auto"/>
        <w:jc w:val="both"/>
        <w:rPr>
          <w:rFonts w:ascii="Arial Narrow" w:hAnsi="Arial Narrow" w:cs="Arial"/>
        </w:rPr>
      </w:pPr>
      <w:r w:rsidRPr="005D40AB">
        <w:rPr>
          <w:rFonts w:ascii="Arial Narrow" w:hAnsi="Arial Narrow" w:cs="Arial"/>
        </w:rPr>
        <w:t>REDI es una organización no gubernamental cuyo principal objetivo es incidir en políticas públicas de los derechos de las PCD, bajo el modelo social. La Red por los Derechos de las PCD – REDI- surge en el año 1998 de la convergencia de diferentes organizaciones de PCD y de PCD y sus familiares y aliados que bregaban por su inclusión como sujetos plenos de derecho: derecho al trabajo unos, a la accesibilidad otros.</w:t>
      </w:r>
    </w:p>
    <w:p w:rsidR="001871B6" w:rsidRPr="005D40AB" w:rsidRDefault="001871B6" w:rsidP="001871B6">
      <w:pPr>
        <w:spacing w:line="240" w:lineRule="auto"/>
        <w:jc w:val="both"/>
        <w:rPr>
          <w:rFonts w:ascii="Arial Narrow" w:hAnsi="Arial Narrow" w:cs="Arial"/>
        </w:rPr>
      </w:pPr>
      <w:r w:rsidRPr="005D40AB">
        <w:rPr>
          <w:rFonts w:ascii="Arial Narrow" w:hAnsi="Arial Narrow" w:cs="Arial"/>
        </w:rPr>
        <w:t>Sosteniendo un activo protagonismo, las propias PCD fueron y son quienes conducen a REDI, postulando así principios que paralelamente se enunciaban por entonces en las Normas Uniformes, y una década más tarde se incorporarían en la letra de la CDPD.</w:t>
      </w:r>
    </w:p>
    <w:p w:rsidR="001871B6" w:rsidRPr="005D40AB" w:rsidRDefault="001871B6" w:rsidP="001871B6">
      <w:pPr>
        <w:spacing w:line="240" w:lineRule="auto"/>
        <w:jc w:val="both"/>
        <w:rPr>
          <w:rFonts w:ascii="Arial Narrow" w:hAnsi="Arial Narrow" w:cs="Arial"/>
        </w:rPr>
      </w:pPr>
      <w:r w:rsidRPr="005D40AB">
        <w:rPr>
          <w:rFonts w:ascii="Arial Narrow" w:hAnsi="Arial Narrow" w:cs="Arial"/>
        </w:rPr>
        <w:t>En años recientes, REDI ha dado un salto cualitativo, consolidando alianzas estratégicas con organizaciones locales e internacionales. Su activa participación en la redacción de la CDPD, y su consecuente actuación a favor de los derechos allí plasmados, la ubica como referente clave en la temática ante organismos de gobierno, de derechos humanos, de PCD, y de ONG que se van sumando en la lucha por la inclusión.</w:t>
      </w:r>
    </w:p>
    <w:p w:rsidR="001871B6" w:rsidRPr="005D40AB" w:rsidRDefault="001871B6" w:rsidP="001871B6">
      <w:pPr>
        <w:spacing w:line="240" w:lineRule="auto"/>
        <w:jc w:val="both"/>
        <w:rPr>
          <w:rFonts w:ascii="Arial Narrow" w:hAnsi="Arial Narrow" w:cs="Arial"/>
          <w:b/>
        </w:rPr>
      </w:pPr>
      <w:r w:rsidRPr="005D40AB">
        <w:rPr>
          <w:rFonts w:ascii="Arial Narrow" w:hAnsi="Arial Narrow" w:cs="Arial"/>
        </w:rPr>
        <w:t xml:space="preserve">Forma parte de la Red Iberoamericana de Expertos en la Convención sobre los Derechos de las PCD, de la Alianza Internacional sobre Discapacidad (IDA) y de Global </w:t>
      </w:r>
      <w:proofErr w:type="spellStart"/>
      <w:r w:rsidRPr="005D40AB">
        <w:rPr>
          <w:rFonts w:ascii="Arial Narrow" w:hAnsi="Arial Narrow" w:cs="Arial"/>
        </w:rPr>
        <w:t>Partnership</w:t>
      </w:r>
      <w:proofErr w:type="spellEnd"/>
      <w:r w:rsidRPr="005D40AB">
        <w:rPr>
          <w:rFonts w:ascii="Arial Narrow" w:hAnsi="Arial Narrow" w:cs="Arial"/>
        </w:rPr>
        <w:t xml:space="preserve"> </w:t>
      </w:r>
      <w:proofErr w:type="spellStart"/>
      <w:r w:rsidRPr="005D40AB">
        <w:rPr>
          <w:rFonts w:ascii="Arial Narrow" w:hAnsi="Arial Narrow" w:cs="Arial"/>
        </w:rPr>
        <w:t>for</w:t>
      </w:r>
      <w:proofErr w:type="spellEnd"/>
      <w:r w:rsidRPr="005D40AB">
        <w:rPr>
          <w:rFonts w:ascii="Arial Narrow" w:hAnsi="Arial Narrow" w:cs="Arial"/>
        </w:rPr>
        <w:t xml:space="preserve"> </w:t>
      </w:r>
      <w:proofErr w:type="spellStart"/>
      <w:r w:rsidRPr="005D40AB">
        <w:rPr>
          <w:rFonts w:ascii="Arial Narrow" w:hAnsi="Arial Narrow" w:cs="Arial"/>
        </w:rPr>
        <w:t>Disability</w:t>
      </w:r>
      <w:proofErr w:type="spellEnd"/>
      <w:r w:rsidRPr="005D40AB">
        <w:rPr>
          <w:rFonts w:ascii="Arial Narrow" w:hAnsi="Arial Narrow" w:cs="Arial"/>
        </w:rPr>
        <w:t xml:space="preserve"> and </w:t>
      </w:r>
      <w:proofErr w:type="spellStart"/>
      <w:r w:rsidRPr="005D40AB">
        <w:rPr>
          <w:rFonts w:ascii="Arial Narrow" w:hAnsi="Arial Narrow" w:cs="Arial"/>
        </w:rPr>
        <w:t>Development</w:t>
      </w:r>
      <w:proofErr w:type="spellEnd"/>
      <w:r w:rsidRPr="005D40AB">
        <w:rPr>
          <w:rFonts w:ascii="Arial Narrow" w:hAnsi="Arial Narrow" w:cs="Arial"/>
        </w:rPr>
        <w:t xml:space="preserve"> (GPDD).</w:t>
      </w:r>
    </w:p>
    <w:p w:rsidR="001871B6" w:rsidRPr="005D40AB" w:rsidRDefault="001871B6" w:rsidP="001871B6">
      <w:pPr>
        <w:spacing w:line="240" w:lineRule="auto"/>
        <w:jc w:val="both"/>
        <w:rPr>
          <w:rFonts w:ascii="Arial Narrow" w:hAnsi="Arial Narrow" w:cs="Arial"/>
          <w:b/>
        </w:rPr>
      </w:pPr>
    </w:p>
    <w:p w:rsidR="001871B6" w:rsidRPr="005D40AB" w:rsidRDefault="001871B6" w:rsidP="001871B6">
      <w:pPr>
        <w:spacing w:line="240" w:lineRule="auto"/>
        <w:jc w:val="both"/>
        <w:rPr>
          <w:rFonts w:ascii="Arial Narrow" w:hAnsi="Arial Narrow" w:cs="Arial"/>
          <w:b/>
        </w:rPr>
      </w:pPr>
      <w:r w:rsidRPr="005D40AB">
        <w:rPr>
          <w:rFonts w:ascii="Arial Narrow" w:hAnsi="Arial Narrow" w:cs="Arial"/>
          <w:b/>
        </w:rPr>
        <w:t>ADC Asociación por los Derechos Civiles</w:t>
      </w:r>
      <w:r w:rsidRPr="005D40AB">
        <w:rPr>
          <w:rStyle w:val="FootnoteReference"/>
          <w:rFonts w:ascii="Arial Narrow" w:hAnsi="Arial Narrow"/>
          <w:b/>
        </w:rPr>
        <w:footnoteReference w:id="24"/>
      </w:r>
    </w:p>
    <w:p w:rsidR="001871B6" w:rsidRPr="005D40AB" w:rsidRDefault="001871B6" w:rsidP="001871B6">
      <w:pPr>
        <w:spacing w:line="240" w:lineRule="auto"/>
        <w:jc w:val="both"/>
        <w:rPr>
          <w:rFonts w:ascii="Arial Narrow" w:hAnsi="Arial Narrow" w:cs="Arial"/>
        </w:rPr>
      </w:pPr>
      <w:r w:rsidRPr="005D40AB">
        <w:rPr>
          <w:rFonts w:ascii="Arial Narrow" w:hAnsi="Arial Narrow" w:cs="Arial"/>
        </w:rPr>
        <w:t xml:space="preserve">La ADC es una organización no gubernamental, </w:t>
      </w:r>
      <w:proofErr w:type="spellStart"/>
      <w:r w:rsidRPr="005D40AB">
        <w:rPr>
          <w:rFonts w:ascii="Arial Narrow" w:hAnsi="Arial Narrow" w:cs="Arial"/>
        </w:rPr>
        <w:t>apartidaria</w:t>
      </w:r>
      <w:proofErr w:type="spellEnd"/>
      <w:r w:rsidRPr="005D40AB">
        <w:rPr>
          <w:rFonts w:ascii="Arial Narrow" w:hAnsi="Arial Narrow" w:cs="Arial"/>
        </w:rPr>
        <w:t xml:space="preserve"> y sin fines de lucro creada en 1995 con el propósito de contribuir a afianzar una cultura jurídica e institucional que garantice los derechos fundamentales de las personas, sustentada en el respeto por la Constitución y los valores democráticos. Su principal misión es velar por el cumplimiento de los derechos civiles.</w:t>
      </w:r>
    </w:p>
    <w:p w:rsidR="001871B6" w:rsidRPr="005D40AB" w:rsidRDefault="001871B6" w:rsidP="001871B6">
      <w:pPr>
        <w:spacing w:line="240" w:lineRule="auto"/>
        <w:jc w:val="both"/>
        <w:rPr>
          <w:rFonts w:ascii="Arial Narrow" w:hAnsi="Arial Narrow" w:cs="Arial"/>
        </w:rPr>
      </w:pPr>
      <w:r w:rsidRPr="005D40AB">
        <w:rPr>
          <w:rFonts w:ascii="Arial Narrow" w:hAnsi="Arial Narrow" w:cs="Arial"/>
        </w:rPr>
        <w:t>Sus principales áreas de Trabajo son: Acceso a la Información Pública; Derechos Sexuales y Reproductivos; Educación; Justicia; Libertad de Expresión; Litigio de Interés público; Monitoreo Legislativo y Sistema Interamericano de Derechos Humanos.</w:t>
      </w:r>
    </w:p>
    <w:p w:rsidR="001871B6" w:rsidRPr="005D40AB" w:rsidRDefault="001871B6" w:rsidP="001871B6">
      <w:pPr>
        <w:spacing w:line="240" w:lineRule="auto"/>
        <w:jc w:val="both"/>
        <w:rPr>
          <w:rFonts w:ascii="Arial Narrow" w:hAnsi="Arial Narrow" w:cs="Arial"/>
        </w:rPr>
      </w:pPr>
    </w:p>
    <w:p w:rsidR="001871B6" w:rsidRPr="005D40AB" w:rsidRDefault="001871B6" w:rsidP="001871B6">
      <w:pPr>
        <w:spacing w:line="240" w:lineRule="auto"/>
        <w:jc w:val="both"/>
        <w:rPr>
          <w:rFonts w:ascii="Arial Narrow" w:hAnsi="Arial Narrow" w:cs="Arial"/>
          <w:b/>
        </w:rPr>
      </w:pPr>
      <w:r w:rsidRPr="005D40AB">
        <w:rPr>
          <w:rFonts w:ascii="Arial Narrow" w:hAnsi="Arial Narrow" w:cs="Arial"/>
          <w:b/>
        </w:rPr>
        <w:t xml:space="preserve">FAICA Federación Argentina de Instituciones de Ciegos y </w:t>
      </w:r>
      <w:proofErr w:type="spellStart"/>
      <w:r w:rsidRPr="005D40AB">
        <w:rPr>
          <w:rFonts w:ascii="Arial Narrow" w:hAnsi="Arial Narrow" w:cs="Arial"/>
          <w:b/>
        </w:rPr>
        <w:t>Amblíopes</w:t>
      </w:r>
      <w:proofErr w:type="spellEnd"/>
      <w:r w:rsidRPr="005D40AB">
        <w:rPr>
          <w:rStyle w:val="FootnoteReference"/>
          <w:rFonts w:ascii="Arial Narrow" w:hAnsi="Arial Narrow"/>
          <w:b/>
        </w:rPr>
        <w:footnoteReference w:id="25"/>
      </w:r>
      <w:r w:rsidRPr="005D40AB">
        <w:rPr>
          <w:rFonts w:ascii="Arial Narrow" w:hAnsi="Arial Narrow" w:cs="Arial"/>
          <w:b/>
        </w:rPr>
        <w:t>.</w:t>
      </w:r>
    </w:p>
    <w:p w:rsidR="001871B6" w:rsidRPr="005D40AB" w:rsidRDefault="001871B6" w:rsidP="001871B6">
      <w:pPr>
        <w:spacing w:line="240" w:lineRule="auto"/>
        <w:jc w:val="both"/>
        <w:rPr>
          <w:rFonts w:ascii="Arial Narrow" w:hAnsi="Arial Narrow" w:cs="Arial"/>
        </w:rPr>
      </w:pPr>
      <w:r w:rsidRPr="005D40AB">
        <w:rPr>
          <w:rFonts w:ascii="Arial Narrow" w:hAnsi="Arial Narrow" w:cs="Arial"/>
        </w:rPr>
        <w:t xml:space="preserve">FAICA es una asociación civil que tiene por objeto consolidar la unidad solidaria y activa del movimiento tiflológico, y luchar en todo el país por la promoción integral de las capacidades de las personas ciegas y </w:t>
      </w:r>
      <w:proofErr w:type="spellStart"/>
      <w:r w:rsidRPr="005D40AB">
        <w:rPr>
          <w:rFonts w:ascii="Arial Narrow" w:hAnsi="Arial Narrow" w:cs="Arial"/>
        </w:rPr>
        <w:t>amblíopes</w:t>
      </w:r>
      <w:proofErr w:type="spellEnd"/>
      <w:r w:rsidRPr="005D40AB">
        <w:rPr>
          <w:rFonts w:ascii="Arial Narrow" w:hAnsi="Arial Narrow" w:cs="Arial"/>
        </w:rPr>
        <w:t xml:space="preserve">, por su bienestar general y por el justo reconocimiento de su condición de ciudadanos útiles y activos; sustentando como principios fundamentales la preservación de la dignidad de las personas ciegas y </w:t>
      </w:r>
      <w:proofErr w:type="spellStart"/>
      <w:r w:rsidRPr="005D40AB">
        <w:rPr>
          <w:rFonts w:ascii="Arial Narrow" w:hAnsi="Arial Narrow" w:cs="Arial"/>
        </w:rPr>
        <w:t>amblíopes</w:t>
      </w:r>
      <w:proofErr w:type="spellEnd"/>
      <w:r w:rsidRPr="005D40AB">
        <w:rPr>
          <w:rFonts w:ascii="Arial Narrow" w:hAnsi="Arial Narrow" w:cs="Arial"/>
        </w:rPr>
        <w:t>, y su derecho a intervenir en todos los asuntos que les conciernen.</w:t>
      </w:r>
    </w:p>
    <w:p w:rsidR="001871B6" w:rsidRPr="005D40AB" w:rsidRDefault="001871B6" w:rsidP="001871B6">
      <w:pPr>
        <w:spacing w:line="240" w:lineRule="auto"/>
        <w:jc w:val="both"/>
        <w:rPr>
          <w:rFonts w:ascii="Arial Narrow" w:hAnsi="Arial Narrow" w:cs="Arial"/>
        </w:rPr>
      </w:pPr>
      <w:r w:rsidRPr="005D40AB">
        <w:rPr>
          <w:rFonts w:ascii="Arial Narrow" w:hAnsi="Arial Narrow" w:cs="Arial"/>
        </w:rPr>
        <w:t>Para ello trabajan en alianza con otras organizaciones no gubernamentales relacionadas con la discapacidad, distintas reparticiones públicas, empresas y todos aquellos actores que puedan colaborar para alcanzar la inclusión y la plena participación de las PCD visual en la sociedad.</w:t>
      </w:r>
    </w:p>
    <w:p w:rsidR="001871B6" w:rsidRDefault="001871B6" w:rsidP="001871B6">
      <w:pPr>
        <w:spacing w:line="240" w:lineRule="auto"/>
        <w:jc w:val="both"/>
        <w:rPr>
          <w:rFonts w:ascii="Arial Narrow" w:hAnsi="Arial Narrow" w:cs="Arial"/>
        </w:rPr>
      </w:pPr>
      <w:r w:rsidRPr="005D40AB">
        <w:rPr>
          <w:rFonts w:ascii="Arial Narrow" w:hAnsi="Arial Narrow" w:cs="Arial"/>
        </w:rPr>
        <w:lastRenderedPageBreak/>
        <w:t>Con el fin de dar respuestas a necesidades concretas del sector, FAICA desarrolla también distintos programas que cuentan con el respaldo de organismos estatales, organizaciones internacionales de cooperación y entidades del ámbito empresarial. Estas acciones comprenden entre otros ejes, la capacitación en nuevas tecnologías, el acceso al trabajo y la promoción de mujeres y jóvenes con discapacidad visual.</w:t>
      </w:r>
    </w:p>
    <w:p w:rsidR="00803063" w:rsidRDefault="00803063" w:rsidP="001871B6">
      <w:pPr>
        <w:spacing w:line="240" w:lineRule="auto"/>
        <w:jc w:val="both"/>
        <w:rPr>
          <w:rFonts w:ascii="Arial Narrow" w:hAnsi="Arial Narrow" w:cs="Arial"/>
        </w:rPr>
      </w:pPr>
    </w:p>
    <w:p w:rsidR="00803063" w:rsidRPr="00803063" w:rsidRDefault="00803063" w:rsidP="001871B6">
      <w:pPr>
        <w:spacing w:line="240" w:lineRule="auto"/>
        <w:jc w:val="both"/>
        <w:rPr>
          <w:rFonts w:ascii="Arial Narrow" w:hAnsi="Arial Narrow" w:cs="Arial"/>
          <w:b/>
        </w:rPr>
      </w:pPr>
      <w:r w:rsidRPr="00803063">
        <w:rPr>
          <w:rFonts w:ascii="Arial Narrow" w:hAnsi="Arial Narrow" w:cs="Arial"/>
          <w:b/>
        </w:rPr>
        <w:t>ACIJ Asociación Civil por la Igualdad y la Justicia</w:t>
      </w:r>
      <w:r w:rsidRPr="00762B3E">
        <w:rPr>
          <w:rStyle w:val="FootnoteReference"/>
          <w:rFonts w:ascii="Arial Narrow" w:hAnsi="Arial Narrow"/>
        </w:rPr>
        <w:footnoteReference w:id="26"/>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 xml:space="preserve">La Asociación Civil por la Igualdad y la Justicia (ACIJ) es una organización </w:t>
      </w:r>
      <w:proofErr w:type="spellStart"/>
      <w:r w:rsidRPr="00762B3E">
        <w:rPr>
          <w:rFonts w:ascii="Arial Narrow" w:hAnsi="Arial Narrow" w:cs="Arial"/>
        </w:rPr>
        <w:t>apartidaria</w:t>
      </w:r>
      <w:proofErr w:type="spellEnd"/>
      <w:r w:rsidRPr="00762B3E">
        <w:rPr>
          <w:rFonts w:ascii="Arial Narrow" w:hAnsi="Arial Narrow" w:cs="Arial"/>
        </w:rPr>
        <w:t>, sin fines de lucro dedicada a la defensa de los derechos de los grupos más desfavorecidos de la sociedad y el fortalecimiento de la democracia en Argentina.</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 xml:space="preserve">Fundada en 2002, ACIJ tiene por objetivos defender la efectiva vigencia de la Constitución Nacional y los principios del estado de derecho, promover el cumplimiento de las leyes que protegen a los grupos desaventajados y la erradicación de toda práctica discriminatoria, </w:t>
      </w:r>
      <w:proofErr w:type="spellStart"/>
      <w:r w:rsidRPr="00762B3E">
        <w:rPr>
          <w:rFonts w:ascii="Arial Narrow" w:hAnsi="Arial Narrow" w:cs="Arial"/>
        </w:rPr>
        <w:t>asi</w:t>
      </w:r>
      <w:proofErr w:type="spellEnd"/>
      <w:r w:rsidRPr="00762B3E">
        <w:rPr>
          <w:rFonts w:ascii="Arial Narrow" w:hAnsi="Arial Narrow" w:cs="Arial"/>
        </w:rPr>
        <w:t xml:space="preserve"> como también contribuir al desarrollo de prácticas participativas y deliberativas de la democracia.</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Nuestra misión es contribuir al fortalecimiento de las instituciones democráticas, promover el respeto por los derechos fundamentales y trabajar para la defensa de los grupos más vulnerables de la sociedad.</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Objetivos</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Colaborar para lograr un mejor funcionamiento y mayor transparencia de las instituciones públicas, tales como organismos administrativos, legislativos, tribunales de justicia, entes reguladores y órganos de control.</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Promover el cumplimiento de la Constitución Nacional y la efectiva vigencia de las leyes que protegen a los grupos desaventajados y bregar por la erradicación de las leyes y prácticas discriminatorias contra minorías históricamente postergadas.</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Desarrollar conciencia en la ciudadanía sobre sus derechos básicos y conocimiento sobre los canales disponibles para su protección.</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Realizar propuestas de reforma de políticas públicas.</w:t>
      </w:r>
    </w:p>
    <w:p w:rsidR="00762B3E" w:rsidRPr="00762B3E" w:rsidRDefault="00762B3E" w:rsidP="00762B3E">
      <w:pPr>
        <w:spacing w:line="240" w:lineRule="auto"/>
        <w:jc w:val="both"/>
        <w:rPr>
          <w:rFonts w:ascii="Arial Narrow" w:hAnsi="Arial Narrow" w:cs="Arial"/>
        </w:rPr>
      </w:pPr>
      <w:r w:rsidRPr="00762B3E">
        <w:rPr>
          <w:rFonts w:ascii="Arial Narrow" w:hAnsi="Arial Narrow" w:cs="Arial"/>
        </w:rPr>
        <w:t>Formar profesionales de diversas disciplinas comprometidos en cuestiones de interés público.</w:t>
      </w:r>
    </w:p>
    <w:p w:rsidR="001871B6" w:rsidRDefault="001871B6" w:rsidP="001871B6">
      <w:pPr>
        <w:ind w:right="49"/>
        <w:jc w:val="both"/>
      </w:pPr>
    </w:p>
    <w:sectPr w:rsidR="001871B6" w:rsidSect="009141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49" w:rsidRDefault="00920549" w:rsidP="00C04789">
      <w:pPr>
        <w:spacing w:after="0" w:line="240" w:lineRule="auto"/>
      </w:pPr>
      <w:r>
        <w:separator/>
      </w:r>
    </w:p>
  </w:endnote>
  <w:endnote w:type="continuationSeparator" w:id="0">
    <w:p w:rsidR="00920549" w:rsidRDefault="00920549" w:rsidP="00C0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49" w:rsidRDefault="00920549" w:rsidP="00C04789">
      <w:pPr>
        <w:spacing w:after="0" w:line="240" w:lineRule="auto"/>
      </w:pPr>
      <w:r>
        <w:separator/>
      </w:r>
    </w:p>
  </w:footnote>
  <w:footnote w:type="continuationSeparator" w:id="0">
    <w:p w:rsidR="00920549" w:rsidRDefault="00920549" w:rsidP="00C04789">
      <w:pPr>
        <w:spacing w:after="0" w:line="240" w:lineRule="auto"/>
      </w:pPr>
      <w:r>
        <w:continuationSeparator/>
      </w:r>
    </w:p>
  </w:footnote>
  <w:footnote w:id="1">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Mensaje del Poder Ejecutivo Nacional N° 884/2012 y Proyecto de Ley de Aprobación. Página 35. Disponible en </w:t>
      </w:r>
      <w:hyperlink r:id="rId1" w:history="1">
        <w:r w:rsidRPr="005D40AB">
          <w:rPr>
            <w:rStyle w:val="Hyperlink"/>
            <w:rFonts w:ascii="Arial Narrow" w:hAnsi="Arial Narrow" w:cs="Arial"/>
            <w:sz w:val="18"/>
            <w:szCs w:val="18"/>
          </w:rPr>
          <w:t>http://www.infojus.gov.ar/_pdf/codigo_civil_comercial.pdf</w:t>
        </w:r>
      </w:hyperlink>
    </w:p>
  </w:footnote>
  <w:footnote w:id="2">
    <w:p w:rsidR="005D40AB" w:rsidRPr="005D40AB" w:rsidRDefault="005D40AB" w:rsidP="005D40AB">
      <w:pPr>
        <w:pStyle w:val="FootnoteText"/>
        <w:spacing w:line="240" w:lineRule="auto"/>
        <w:jc w:val="both"/>
        <w:rPr>
          <w:rFonts w:ascii="Arial Narrow" w:hAnsi="Arial Narrow" w:cs="Arial"/>
          <w:sz w:val="18"/>
          <w:szCs w:val="18"/>
          <w:lang w:val="es-ES"/>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Información disponible en </w:t>
      </w:r>
      <w:hyperlink r:id="rId2" w:history="1">
        <w:r w:rsidRPr="005D40AB">
          <w:rPr>
            <w:rStyle w:val="Hyperlink"/>
            <w:rFonts w:ascii="Arial Narrow" w:hAnsi="Arial Narrow" w:cs="Arial"/>
            <w:sz w:val="18"/>
            <w:szCs w:val="18"/>
          </w:rPr>
          <w:t>http://ccycn.congreso.gov.ar/resolucion.html</w:t>
        </w:r>
      </w:hyperlink>
    </w:p>
  </w:footnote>
  <w:footnote w:id="3">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Comisión Bicameral para la Reforma, Actualización y Unificación de los Códigos Civil y Comercial de la Nación. Versiones Taquigráficas de las audiencias. Información disponible en </w:t>
      </w:r>
      <w:hyperlink r:id="rId3" w:history="1">
        <w:r w:rsidRPr="005D40AB">
          <w:rPr>
            <w:rStyle w:val="Hyperlink"/>
            <w:rFonts w:ascii="Arial Narrow" w:hAnsi="Arial Narrow" w:cs="Arial"/>
            <w:sz w:val="18"/>
            <w:szCs w:val="18"/>
          </w:rPr>
          <w:t>http://ccycn.congreso.gov.ar/versiones/index.html</w:t>
        </w:r>
      </w:hyperlink>
    </w:p>
  </w:footnote>
  <w:footnote w:id="4">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Información disponible en </w:t>
      </w:r>
      <w:hyperlink r:id="rId4" w:history="1">
        <w:r w:rsidRPr="005D40AB">
          <w:rPr>
            <w:rFonts w:ascii="Arial Narrow" w:hAnsi="Arial Narrow" w:cs="Arial"/>
            <w:sz w:val="18"/>
            <w:szCs w:val="18"/>
          </w:rPr>
          <w:t>http://ccycn.congreso.gov.ar/versiones/buenosaires/2012-14-08b.html</w:t>
        </w:r>
      </w:hyperlink>
    </w:p>
  </w:footnote>
  <w:footnote w:id="5">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Información disponible en </w:t>
      </w:r>
      <w:hyperlink r:id="rId5" w:history="1">
        <w:r w:rsidRPr="005D40AB">
          <w:rPr>
            <w:rFonts w:ascii="Arial Narrow" w:hAnsi="Arial Narrow" w:cs="Arial"/>
            <w:sz w:val="18"/>
            <w:szCs w:val="18"/>
          </w:rPr>
          <w:t>http://ccycn.congreso.gov.ar/versiones/buenosaires/2012-21-08.html</w:t>
        </w:r>
      </w:hyperlink>
    </w:p>
  </w:footnote>
  <w:footnote w:id="6">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“Asimismo, el presente proyecto distingue la capacidad de derecho de la capacidad de ejercicio. Las modificaciones importantes se producen en esta última, a fin de adecuar el derecho positivo a la Convención Internacional de los Derechos del Niño y a la Convención Internacional de las Personas con Discapacidad”. Mensaje del Poder Ejecutivo Nacional N° 884/2012 y Proyecto de Ley de Aprobación. Página 4. Disponible en </w:t>
      </w:r>
      <w:hyperlink r:id="rId6" w:history="1">
        <w:r w:rsidRPr="005D40AB">
          <w:rPr>
            <w:rFonts w:ascii="Arial Narrow" w:hAnsi="Arial Narrow" w:cs="Arial"/>
            <w:sz w:val="18"/>
            <w:szCs w:val="18"/>
          </w:rPr>
          <w:t>http://www.infojus.gov.ar/_pdf/codigo_civil_comercial.pdf</w:t>
        </w:r>
      </w:hyperlink>
      <w:r w:rsidRPr="005D40AB">
        <w:rPr>
          <w:rFonts w:ascii="Arial Narrow" w:hAnsi="Arial Narrow"/>
          <w:sz w:val="18"/>
          <w:szCs w:val="18"/>
        </w:rPr>
        <w:t xml:space="preserve"> </w:t>
      </w:r>
    </w:p>
  </w:footnote>
  <w:footnote w:id="7">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Proyecto de Código Civil y Comercial, Art. 31, inciso a.</w:t>
      </w:r>
    </w:p>
  </w:footnote>
  <w:footnote w:id="8">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Proyecto de Código Civil y Comercial, Art. 43.</w:t>
      </w:r>
    </w:p>
  </w:footnote>
  <w:footnote w:id="9">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Proyecto de Código Civil y Comercial, Art. 31, inciso b.</w:t>
      </w:r>
    </w:p>
  </w:footnote>
  <w:footnote w:id="10">
    <w:p w:rsidR="005D40AB" w:rsidRPr="005D40AB" w:rsidRDefault="005D40AB" w:rsidP="005D40AB">
      <w:pPr>
        <w:pStyle w:val="FootnoteText"/>
        <w:spacing w:line="240" w:lineRule="auto"/>
        <w:jc w:val="both"/>
        <w:rPr>
          <w:rFonts w:ascii="Arial Narrow" w:hAnsi="Arial Narrow" w:cs="Arial"/>
          <w:sz w:val="18"/>
          <w:szCs w:val="18"/>
          <w:lang w:val="es-ES"/>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Información disponible en </w:t>
      </w:r>
      <w:hyperlink r:id="rId7" w:history="1">
        <w:r w:rsidRPr="005D40AB">
          <w:rPr>
            <w:rStyle w:val="Hyperlink"/>
            <w:rFonts w:ascii="Arial Narrow" w:hAnsi="Arial Narrow" w:cs="Arial"/>
            <w:sz w:val="18"/>
            <w:szCs w:val="18"/>
          </w:rPr>
          <w:t>http://ccycn.congreso.gov.ar/versiones/buenosaires/2013-03-21.html</w:t>
        </w:r>
      </w:hyperlink>
    </w:p>
  </w:footnote>
  <w:footnote w:id="11">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Información disponible en </w:t>
      </w:r>
      <w:hyperlink r:id="rId8" w:history="1">
        <w:r w:rsidRPr="005D40AB">
          <w:rPr>
            <w:rStyle w:val="Hyperlink"/>
            <w:rFonts w:ascii="Arial Narrow" w:hAnsi="Arial Narrow" w:cs="Arial"/>
            <w:sz w:val="18"/>
            <w:szCs w:val="18"/>
          </w:rPr>
          <w:t>http://ccycn.congreso.gov.ar/reglamento.html</w:t>
        </w:r>
      </w:hyperlink>
    </w:p>
  </w:footnote>
  <w:footnote w:id="12">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Información disponible en </w:t>
      </w:r>
      <w:hyperlink r:id="rId9" w:history="1">
        <w:r w:rsidRPr="005D40AB">
          <w:rPr>
            <w:rStyle w:val="Hyperlink"/>
            <w:rFonts w:ascii="Arial Narrow" w:hAnsi="Arial Narrow" w:cs="Arial"/>
            <w:sz w:val="18"/>
            <w:szCs w:val="18"/>
          </w:rPr>
          <w:t>http://ccycn.congreso.gov.ar/reglamento.html</w:t>
        </w:r>
      </w:hyperlink>
    </w:p>
  </w:footnote>
  <w:footnote w:id="13">
    <w:p w:rsidR="005D40AB" w:rsidRPr="005D40AB" w:rsidRDefault="005D40AB"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Agradecemos la colaboración de María Cecilia </w:t>
      </w:r>
      <w:proofErr w:type="spellStart"/>
      <w:r w:rsidRPr="005D40AB">
        <w:rPr>
          <w:rFonts w:ascii="Arial Narrow" w:hAnsi="Arial Narrow" w:cs="Arial"/>
          <w:sz w:val="18"/>
          <w:szCs w:val="18"/>
        </w:rPr>
        <w:t>Ruhl</w:t>
      </w:r>
      <w:proofErr w:type="spellEnd"/>
      <w:r w:rsidRPr="005D40AB">
        <w:rPr>
          <w:rFonts w:ascii="Arial Narrow" w:hAnsi="Arial Narrow" w:cs="Arial"/>
          <w:sz w:val="18"/>
          <w:szCs w:val="18"/>
        </w:rPr>
        <w:t xml:space="preserve"> en la elaboración de esta sección del documento. En relación a estas barreras, ver también Versión taquigráfica de la audiencia pública llevada a cabo el 10 de septiembre de 2012 en la Sede de Gobierno de la Universidad Nacional de Rosario, Rosario, Santa Fe. </w:t>
      </w:r>
    </w:p>
    <w:p w:rsidR="005D40AB" w:rsidRPr="005D40AB" w:rsidRDefault="005D40AB" w:rsidP="005D40AB">
      <w:pPr>
        <w:pStyle w:val="FootnoteText"/>
        <w:spacing w:line="240" w:lineRule="auto"/>
        <w:jc w:val="both"/>
        <w:rPr>
          <w:rFonts w:ascii="Arial Narrow" w:hAnsi="Arial Narrow" w:cs="Arial"/>
          <w:sz w:val="18"/>
          <w:szCs w:val="18"/>
          <w:lang w:val="es-ES"/>
        </w:rPr>
      </w:pPr>
      <w:r w:rsidRPr="005D40AB">
        <w:rPr>
          <w:rFonts w:ascii="Arial Narrow" w:hAnsi="Arial Narrow" w:cs="Arial"/>
          <w:sz w:val="18"/>
          <w:szCs w:val="18"/>
        </w:rPr>
        <w:t xml:space="preserve">Disponible en </w:t>
      </w:r>
      <w:hyperlink r:id="rId10" w:history="1">
        <w:r w:rsidRPr="005D40AB">
          <w:rPr>
            <w:rFonts w:ascii="Arial Narrow" w:hAnsi="Arial Narrow" w:cs="Arial"/>
            <w:sz w:val="18"/>
            <w:szCs w:val="18"/>
          </w:rPr>
          <w:t>http://ccycn.congreso.gov.ar/versiones/rosario/2012-10-09.html</w:t>
        </w:r>
      </w:hyperlink>
      <w:r w:rsidRPr="005D40AB">
        <w:rPr>
          <w:rFonts w:ascii="Arial Narrow" w:hAnsi="Arial Narrow"/>
          <w:sz w:val="18"/>
          <w:szCs w:val="18"/>
        </w:rPr>
        <w:t xml:space="preserve"> </w:t>
      </w:r>
      <w:r w:rsidRPr="005D40AB">
        <w:rPr>
          <w:rFonts w:ascii="Arial Narrow" w:hAnsi="Arial Narrow" w:cs="Arial"/>
          <w:sz w:val="18"/>
          <w:szCs w:val="18"/>
        </w:rPr>
        <w:t xml:space="preserve">y </w:t>
      </w:r>
      <w:hyperlink r:id="rId11" w:history="1">
        <w:r w:rsidRPr="005D40AB">
          <w:rPr>
            <w:rStyle w:val="Hyperlink"/>
            <w:rFonts w:ascii="Arial Narrow" w:hAnsi="Arial Narrow" w:cs="Arial"/>
            <w:sz w:val="18"/>
            <w:szCs w:val="18"/>
          </w:rPr>
          <w:t>http://www.youtube.com/watch?v=tHdb1I0Grbw</w:t>
        </w:r>
      </w:hyperlink>
      <w:r w:rsidRPr="005D40AB">
        <w:rPr>
          <w:rFonts w:ascii="Arial Narrow" w:hAnsi="Arial Narrow" w:cs="Arial"/>
          <w:sz w:val="18"/>
          <w:szCs w:val="18"/>
        </w:rPr>
        <w:t xml:space="preserve"> </w:t>
      </w:r>
    </w:p>
  </w:footnote>
  <w:footnote w:id="14">
    <w:p w:rsidR="00712A35" w:rsidRPr="005D40AB" w:rsidRDefault="00712A35" w:rsidP="005D40AB">
      <w:pPr>
        <w:pStyle w:val="FootnoteText"/>
        <w:spacing w:line="240" w:lineRule="auto"/>
        <w:rPr>
          <w:rFonts w:ascii="Arial Narrow" w:hAnsi="Arial Narrow" w:cs="Arial"/>
          <w:sz w:val="18"/>
          <w:szCs w:val="18"/>
          <w:lang w:val="es-AR"/>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Informe Alternativo REDI – CELS – FAICA- FENDIM – ADC </w:t>
      </w:r>
      <w:hyperlink r:id="rId12" w:history="1">
        <w:r w:rsidRPr="005D40AB">
          <w:rPr>
            <w:rStyle w:val="Hyperlink"/>
            <w:rFonts w:ascii="Arial Narrow" w:hAnsi="Arial Narrow" w:cs="Arial"/>
            <w:color w:val="0000CC"/>
            <w:sz w:val="18"/>
            <w:szCs w:val="18"/>
          </w:rPr>
          <w:t>http://www.ohchr.org/Documents/HRBodies/CRPD/8thSession/REDI-CELS-FAICA-FENDIM-ADC_Argentina.doc</w:t>
        </w:r>
      </w:hyperlink>
      <w:r w:rsidRPr="005D40AB">
        <w:rPr>
          <w:rFonts w:ascii="Arial Narrow" w:hAnsi="Arial Narrow" w:cs="Arial"/>
          <w:color w:val="000000"/>
          <w:sz w:val="18"/>
          <w:szCs w:val="18"/>
          <w:shd w:val="clear" w:color="auto" w:fill="DDDDDD"/>
        </w:rPr>
        <w:t>.</w:t>
      </w:r>
    </w:p>
  </w:footnote>
  <w:footnote w:id="15">
    <w:p w:rsidR="00712A35" w:rsidRPr="005D40AB" w:rsidRDefault="00712A35" w:rsidP="005D40AB">
      <w:pPr>
        <w:pStyle w:val="FootnoteText"/>
        <w:spacing w:after="0" w:line="240" w:lineRule="auto"/>
        <w:rPr>
          <w:rStyle w:val="FootnoteReference"/>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Comunicado de prensa de la Defensoría General de la Nación </w:t>
      </w:r>
      <w:hyperlink r:id="rId13" w:history="1">
        <w:r w:rsidRPr="005D40AB">
          <w:rPr>
            <w:rStyle w:val="Hyperlink"/>
            <w:rFonts w:ascii="Arial Narrow" w:hAnsi="Arial Narrow" w:cs="Arial"/>
            <w:sz w:val="18"/>
            <w:szCs w:val="18"/>
          </w:rPr>
          <w:t>http://www.mpd.gov.ar/noticia/index/noticia/la-dgn-pidio-garantizar-el-derecho-al-voto-de-las-personas-internadas-en-centros-de-salud-mental-785</w:t>
        </w:r>
      </w:hyperlink>
    </w:p>
  </w:footnote>
  <w:footnote w:id="16">
    <w:p w:rsidR="00712A35" w:rsidRPr="005D40AB" w:rsidRDefault="00712A35" w:rsidP="005D40AB">
      <w:pPr>
        <w:pStyle w:val="FootnoteText"/>
        <w:spacing w:line="240" w:lineRule="auto"/>
        <w:rPr>
          <w:rFonts w:ascii="Arial Narrow" w:hAnsi="Arial Narrow"/>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w:t>
      </w:r>
      <w:hyperlink r:id="rId14" w:history="1">
        <w:r w:rsidRPr="005D40AB">
          <w:rPr>
            <w:rStyle w:val="Hyperlink"/>
            <w:rFonts w:ascii="Arial Narrow" w:hAnsi="Arial Narrow" w:cs="Arial"/>
            <w:sz w:val="18"/>
            <w:szCs w:val="18"/>
          </w:rPr>
          <w:t>http://www.elecciones.gov.ar/accesibilidad/accesibilidad.htm</w:t>
        </w:r>
      </w:hyperlink>
    </w:p>
  </w:footnote>
  <w:footnote w:id="17">
    <w:p w:rsidR="00712A35" w:rsidRPr="005D40AB" w:rsidRDefault="00712A35" w:rsidP="005D40AB">
      <w:pPr>
        <w:pStyle w:val="SingleTxtG"/>
        <w:spacing w:line="240" w:lineRule="auto"/>
        <w:ind w:left="0" w:right="49"/>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Parte pertinente del informe de estado Argentino punto 136.</w:t>
      </w:r>
      <w:r w:rsidRPr="005D40AB">
        <w:rPr>
          <w:rFonts w:ascii="Arial Narrow" w:hAnsi="Arial Narrow" w:cs="Arial"/>
          <w:sz w:val="18"/>
          <w:szCs w:val="18"/>
        </w:rPr>
        <w:tab/>
        <w:t>“Una iniciativa específica vinculada a estas acciones, fue el relevamiento de centros y establecimientos de votación desarrollada en todo el país. Se procedió a establecer variables de observación vinculadas a la accesibilidad en 11.000 establecimientos educativos, comunitarios y sociales. La sistematización y análisis de los resultados fue realizado en conjunto con el Consejo Nacional Coordinador de Políticas Sociales de Presidencia de la Nación —Sistema de Información, Monitoreo y Evaluación de Programas Sociales— (SIEMPRO). Dichos resultados fueron comunicados oportunamente a las autoridades de los gobiernos provinciales —Gobernadores, Ministros— y del ámbito electoral —Juzgados Electorales Federales y Provinciales— como herramienta para la toma de decisiones y definición de estrategias (ver anexos).”</w:t>
      </w:r>
    </w:p>
  </w:footnote>
  <w:footnote w:id="18">
    <w:p w:rsidR="0055183A" w:rsidRPr="005D40AB" w:rsidRDefault="0055183A" w:rsidP="005D40AB">
      <w:pPr>
        <w:pStyle w:val="FootnoteText"/>
        <w:spacing w:line="240" w:lineRule="auto"/>
        <w:rPr>
          <w:rFonts w:ascii="Arial Narrow" w:hAnsi="Arial Narrow"/>
          <w:sz w:val="18"/>
          <w:szCs w:val="18"/>
        </w:rPr>
      </w:pPr>
      <w:r w:rsidRPr="005D40AB">
        <w:rPr>
          <w:rStyle w:val="FootnoteReference"/>
          <w:rFonts w:ascii="Arial Narrow" w:hAnsi="Arial Narrow"/>
          <w:sz w:val="18"/>
          <w:szCs w:val="18"/>
        </w:rPr>
        <w:footnoteRef/>
      </w:r>
      <w:r w:rsidRPr="005D40AB">
        <w:rPr>
          <w:rFonts w:ascii="Arial Narrow" w:hAnsi="Arial Narrow"/>
          <w:sz w:val="18"/>
          <w:szCs w:val="18"/>
        </w:rPr>
        <w:t xml:space="preserve"> </w:t>
      </w:r>
      <w:r w:rsidRPr="005D40AB">
        <w:rPr>
          <w:rFonts w:ascii="Arial Narrow" w:hAnsi="Arial Narrow" w:cs="Arial"/>
          <w:sz w:val="18"/>
          <w:szCs w:val="18"/>
        </w:rPr>
        <w:t xml:space="preserve">Dicha información fue obtenida por vía judicial (Expediente Fundación Acceso YA c/ Gobierno Nacional – Ministerio del Interior s/ Amparo, Juzgado Contencioso Administrativo Federal 12/23). A través del link </w:t>
      </w:r>
      <w:hyperlink r:id="rId15" w:history="1">
        <w:r w:rsidRPr="005D40AB">
          <w:rPr>
            <w:rStyle w:val="Hyperlink"/>
            <w:rFonts w:ascii="Arial Narrow" w:hAnsi="Arial Narrow" w:cs="Arial"/>
            <w:sz w:val="18"/>
            <w:szCs w:val="18"/>
          </w:rPr>
          <w:t>http://www.accesoya.org.ar/blog/wp-content/uploads/2010/09/A-Total-Pa%C3%ADs.pdf</w:t>
        </w:r>
      </w:hyperlink>
      <w:r w:rsidRPr="005D40AB">
        <w:rPr>
          <w:rFonts w:ascii="Arial Narrow" w:hAnsi="Arial Narrow" w:cs="Arial"/>
          <w:sz w:val="18"/>
          <w:szCs w:val="18"/>
        </w:rPr>
        <w:t xml:space="preserve"> se puede acceder </w:t>
      </w:r>
      <w:r w:rsidR="00CF3080" w:rsidRPr="005D40AB">
        <w:rPr>
          <w:rFonts w:ascii="Arial Narrow" w:hAnsi="Arial Narrow" w:cs="Arial"/>
          <w:sz w:val="18"/>
          <w:szCs w:val="18"/>
        </w:rPr>
        <w:t xml:space="preserve">al informe suministrado </w:t>
      </w:r>
      <w:r w:rsidRPr="005D40AB">
        <w:rPr>
          <w:rFonts w:ascii="Arial Narrow" w:hAnsi="Arial Narrow" w:cs="Arial"/>
          <w:sz w:val="18"/>
          <w:szCs w:val="18"/>
        </w:rPr>
        <w:t>por el propio Ministerio del Interior.</w:t>
      </w:r>
    </w:p>
  </w:footnote>
  <w:footnote w:id="19">
    <w:p w:rsidR="00FA542F" w:rsidRPr="005D40AB" w:rsidRDefault="00FA542F" w:rsidP="00FA542F">
      <w:pPr>
        <w:pStyle w:val="FootnoteText"/>
        <w:spacing w:line="240" w:lineRule="auto"/>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Cap. IV, </w:t>
      </w:r>
      <w:r w:rsidRPr="005D40AB">
        <w:rPr>
          <w:rFonts w:ascii="Arial Narrow" w:hAnsi="Arial Narrow" w:cs="Arial"/>
          <w:i/>
          <w:sz w:val="18"/>
          <w:szCs w:val="18"/>
        </w:rPr>
        <w:t>“Obstáculos a la Inclusión de personas con discapacidad en escuelas comunes de gestión estatal de la ciudad de Buenos Aires”</w:t>
      </w:r>
      <w:r w:rsidRPr="005D40AB">
        <w:rPr>
          <w:rFonts w:ascii="Arial Narrow" w:hAnsi="Arial Narrow" w:cs="Arial"/>
          <w:sz w:val="18"/>
          <w:szCs w:val="18"/>
        </w:rPr>
        <w:t>, Asociación Civil por la Igualdad y la Justicia (ACIJ) - 2012.</w:t>
      </w:r>
    </w:p>
  </w:footnote>
  <w:footnote w:id="20">
    <w:p w:rsidR="00712A35" w:rsidRPr="005D40AB" w:rsidRDefault="00712A35" w:rsidP="005D40AB">
      <w:pPr>
        <w:pStyle w:val="FootnoteText"/>
        <w:spacing w:line="240" w:lineRule="auto"/>
        <w:jc w:val="both"/>
        <w:rPr>
          <w:rFonts w:ascii="Arial Narrow" w:hAnsi="Arial Narrow" w:cs="Arial"/>
          <w:sz w:val="18"/>
          <w:szCs w:val="18"/>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w:t>
      </w:r>
      <w:r w:rsidRPr="005D40AB">
        <w:rPr>
          <w:rFonts w:ascii="Arial Narrow" w:hAnsi="Arial Narrow" w:cs="Arial"/>
          <w:b/>
          <w:bCs/>
          <w:sz w:val="18"/>
          <w:szCs w:val="18"/>
        </w:rPr>
        <w:t xml:space="preserve">ARTICULO 105. </w:t>
      </w:r>
      <w:r w:rsidRPr="005D40AB">
        <w:rPr>
          <w:rFonts w:ascii="Arial Narrow" w:hAnsi="Arial Narrow" w:cs="Arial"/>
          <w:sz w:val="18"/>
          <w:szCs w:val="18"/>
        </w:rPr>
        <w:t xml:space="preserve">— La autoridad de aplicación adoptará las medidas pertinentes a fin de garantizar la accesibilidad, confidencialidad e intimidad para el ejercicio de los derechos políticos de las personas con discapacidad. Para ello se adecuarán los procedimientos, instalaciones y material electoral de modo que las personas con discapacidad puedan ejercer sus derechos sin discriminación y en igualdad de condiciones con los demás, tanto para ser electores como para ser candidatos. Ley N° 26.571 </w:t>
      </w:r>
      <w:hyperlink r:id="rId16" w:history="1">
        <w:r w:rsidRPr="005D40AB">
          <w:rPr>
            <w:rStyle w:val="Hyperlink"/>
            <w:rFonts w:ascii="Arial Narrow" w:hAnsi="Arial Narrow" w:cs="Arial"/>
            <w:sz w:val="18"/>
            <w:szCs w:val="18"/>
          </w:rPr>
          <w:t>http://infoleg.mecon.gov.ar/infolegInternet/verNorma.do?id=161453</w:t>
        </w:r>
      </w:hyperlink>
    </w:p>
  </w:footnote>
  <w:footnote w:id="21">
    <w:p w:rsidR="00712A35" w:rsidRPr="005D40AB" w:rsidRDefault="00712A35" w:rsidP="005D40AB">
      <w:pPr>
        <w:pStyle w:val="FootnoteText"/>
        <w:spacing w:line="240" w:lineRule="auto"/>
        <w:rPr>
          <w:rFonts w:ascii="Arial Narrow" w:hAnsi="Arial Narrow" w:cs="Arial"/>
          <w:sz w:val="18"/>
          <w:szCs w:val="18"/>
          <w:lang w:val="es-AR"/>
        </w:rPr>
      </w:pPr>
      <w:r w:rsidRPr="005D40AB">
        <w:rPr>
          <w:rStyle w:val="FootnoteReference"/>
          <w:rFonts w:ascii="Arial Narrow" w:hAnsi="Arial Narrow" w:cs="Arial"/>
          <w:sz w:val="18"/>
          <w:szCs w:val="18"/>
        </w:rPr>
        <w:footnoteRef/>
      </w:r>
      <w:r w:rsidRPr="005D40AB">
        <w:rPr>
          <w:rFonts w:ascii="Arial Narrow" w:hAnsi="Arial Narrow" w:cs="Arial"/>
          <w:sz w:val="18"/>
          <w:szCs w:val="18"/>
        </w:rPr>
        <w:t xml:space="preserve"> </w:t>
      </w:r>
      <w:r w:rsidR="00363731" w:rsidRPr="005D40AB">
        <w:rPr>
          <w:rFonts w:ascii="Arial Narrow" w:hAnsi="Arial Narrow" w:cs="Arial"/>
          <w:sz w:val="18"/>
          <w:szCs w:val="18"/>
        </w:rPr>
        <w:t xml:space="preserve">Comunicado de prensa de la Campaña </w:t>
      </w:r>
      <w:hyperlink r:id="rId17" w:history="1">
        <w:r w:rsidRPr="005D40AB">
          <w:rPr>
            <w:rStyle w:val="Hyperlink"/>
            <w:rFonts w:ascii="Arial Narrow" w:hAnsi="Arial Narrow" w:cs="Arial"/>
            <w:sz w:val="18"/>
            <w:szCs w:val="18"/>
          </w:rPr>
          <w:t>https://docs.google.com/viewer?url=http://www.redi.org.ar/docs/El%20derecho%20al%20voto%20final.docx</w:t>
        </w:r>
      </w:hyperlink>
    </w:p>
  </w:footnote>
  <w:footnote w:id="22">
    <w:p w:rsidR="00121669" w:rsidRPr="005D40AB" w:rsidRDefault="00121669" w:rsidP="005D40AB">
      <w:pPr>
        <w:pStyle w:val="FootnoteText"/>
        <w:spacing w:line="240" w:lineRule="auto"/>
        <w:jc w:val="both"/>
        <w:rPr>
          <w:rFonts w:ascii="Arial Narrow" w:hAnsi="Arial Narrow"/>
          <w:sz w:val="18"/>
          <w:szCs w:val="18"/>
          <w:lang w:val="es-AR"/>
        </w:rPr>
      </w:pPr>
      <w:r w:rsidRPr="005D40AB">
        <w:rPr>
          <w:rStyle w:val="FootnoteReference"/>
          <w:rFonts w:ascii="Arial Narrow" w:hAnsi="Arial Narrow"/>
          <w:sz w:val="18"/>
          <w:szCs w:val="18"/>
        </w:rPr>
        <w:footnoteRef/>
      </w:r>
      <w:r w:rsidRPr="005D40AB">
        <w:rPr>
          <w:rFonts w:ascii="Arial Narrow" w:hAnsi="Arial Narrow"/>
          <w:sz w:val="18"/>
          <w:szCs w:val="18"/>
        </w:rPr>
        <w:t xml:space="preserve"> Si bien dicho testimonio no da cuenta de un caso de inaccesibilidad electoral, da cuenta de las barreras actitudinales vigentes en el país –que redundan en violación de derechos- y sobre las cuales el Estado no realiza campañas de concientización o prevención alguna. Este relato se vincula con el apartado del capacidad jurídica incluido en el presente escrito y explicita la necesidad de una reforma legal comprehensiva y urgente.</w:t>
      </w:r>
    </w:p>
  </w:footnote>
  <w:footnote w:id="23">
    <w:p w:rsidR="001871B6" w:rsidRPr="005D40AB" w:rsidRDefault="001871B6" w:rsidP="001871B6">
      <w:pPr>
        <w:pStyle w:val="FootnoteText"/>
        <w:spacing w:after="0" w:line="240" w:lineRule="auto"/>
        <w:rPr>
          <w:rFonts w:ascii="Arial Narrow" w:hAnsi="Arial Narrow"/>
          <w:sz w:val="18"/>
          <w:szCs w:val="18"/>
        </w:rPr>
      </w:pPr>
      <w:r w:rsidRPr="005D40AB">
        <w:rPr>
          <w:rStyle w:val="FootnoteReference"/>
          <w:rFonts w:ascii="Arial Narrow" w:hAnsi="Arial Narrow"/>
          <w:sz w:val="18"/>
          <w:szCs w:val="18"/>
        </w:rPr>
        <w:footnoteRef/>
      </w:r>
      <w:r w:rsidRPr="005D40AB">
        <w:rPr>
          <w:rFonts w:ascii="Arial Narrow" w:hAnsi="Arial Narrow"/>
          <w:sz w:val="18"/>
          <w:szCs w:val="18"/>
          <w:lang w:val="es-AR"/>
        </w:rPr>
        <w:t xml:space="preserve"> </w:t>
      </w:r>
      <w:hyperlink r:id="rId18" w:history="1">
        <w:r w:rsidRPr="005D40AB">
          <w:rPr>
            <w:rStyle w:val="Hyperlink"/>
            <w:rFonts w:ascii="Arial Narrow" w:hAnsi="Arial Narrow"/>
            <w:sz w:val="18"/>
            <w:szCs w:val="18"/>
            <w:lang w:val="es-AR"/>
          </w:rPr>
          <w:t>Página web: www.redi.org.ar</w:t>
        </w:r>
      </w:hyperlink>
      <w:r w:rsidRPr="005D40AB">
        <w:rPr>
          <w:rFonts w:ascii="Arial Narrow" w:hAnsi="Arial Narrow"/>
          <w:sz w:val="18"/>
          <w:szCs w:val="18"/>
          <w:lang w:val="es-ES"/>
        </w:rPr>
        <w:t xml:space="preserve">; </w:t>
      </w:r>
      <w:r w:rsidRPr="005D40AB">
        <w:rPr>
          <w:rFonts w:ascii="Arial Narrow" w:hAnsi="Arial Narrow"/>
          <w:sz w:val="18"/>
          <w:szCs w:val="18"/>
          <w:lang w:val="es-AR"/>
        </w:rPr>
        <w:t xml:space="preserve"> Email:  </w:t>
      </w:r>
      <w:hyperlink r:id="rId19" w:history="1">
        <w:r w:rsidRPr="005D40AB">
          <w:rPr>
            <w:rStyle w:val="Hyperlink"/>
            <w:rFonts w:ascii="Arial Narrow" w:hAnsi="Arial Narrow"/>
            <w:sz w:val="18"/>
            <w:szCs w:val="18"/>
            <w:lang w:val="pt-BR"/>
          </w:rPr>
          <w:t>info@redi.org.ar</w:t>
        </w:r>
      </w:hyperlink>
      <w:r w:rsidRPr="005D40AB">
        <w:rPr>
          <w:rFonts w:ascii="Arial Narrow" w:hAnsi="Arial Narrow"/>
          <w:sz w:val="18"/>
          <w:szCs w:val="18"/>
        </w:rPr>
        <w:t xml:space="preserve">; </w:t>
      </w:r>
      <w:r w:rsidRPr="005D40AB">
        <w:rPr>
          <w:rFonts w:ascii="Arial Narrow" w:hAnsi="Arial Narrow"/>
          <w:sz w:val="18"/>
          <w:szCs w:val="18"/>
          <w:lang w:val="es-AR"/>
        </w:rPr>
        <w:t xml:space="preserve"> Dirección: </w:t>
      </w:r>
      <w:proofErr w:type="spellStart"/>
      <w:r w:rsidRPr="005D40AB">
        <w:rPr>
          <w:rFonts w:ascii="Arial Narrow" w:hAnsi="Arial Narrow"/>
          <w:sz w:val="18"/>
          <w:szCs w:val="18"/>
          <w:lang w:val="pt-BR"/>
        </w:rPr>
        <w:t>Pje</w:t>
      </w:r>
      <w:proofErr w:type="spellEnd"/>
      <w:r w:rsidRPr="005D40AB">
        <w:rPr>
          <w:rFonts w:ascii="Arial Narrow" w:hAnsi="Arial Narrow"/>
          <w:sz w:val="18"/>
          <w:szCs w:val="18"/>
          <w:lang w:val="pt-BR"/>
        </w:rPr>
        <w:t xml:space="preserve">. </w:t>
      </w:r>
      <w:proofErr w:type="spellStart"/>
      <w:r w:rsidRPr="005D40AB">
        <w:rPr>
          <w:rFonts w:ascii="Arial Narrow" w:hAnsi="Arial Narrow"/>
          <w:sz w:val="18"/>
          <w:szCs w:val="18"/>
          <w:lang w:val="pt-BR"/>
        </w:rPr>
        <w:t>Alemania</w:t>
      </w:r>
      <w:proofErr w:type="spellEnd"/>
      <w:r w:rsidRPr="005D40AB">
        <w:rPr>
          <w:rFonts w:ascii="Arial Narrow" w:hAnsi="Arial Narrow"/>
          <w:sz w:val="18"/>
          <w:szCs w:val="18"/>
          <w:lang w:val="pt-BR"/>
        </w:rPr>
        <w:t xml:space="preserve"> 2782, C.A.B.A.; </w:t>
      </w:r>
      <w:r w:rsidRPr="005D40AB">
        <w:rPr>
          <w:rFonts w:ascii="Arial Narrow" w:hAnsi="Arial Narrow"/>
          <w:sz w:val="18"/>
          <w:szCs w:val="18"/>
          <w:lang w:val="es-AR"/>
        </w:rPr>
        <w:t>Teléfono: +5411-4571-7416.</w:t>
      </w:r>
    </w:p>
  </w:footnote>
  <w:footnote w:id="24">
    <w:p w:rsidR="001871B6" w:rsidRPr="00803063" w:rsidRDefault="001871B6" w:rsidP="001871B6">
      <w:pPr>
        <w:spacing w:after="0" w:line="240" w:lineRule="auto"/>
        <w:jc w:val="both"/>
        <w:rPr>
          <w:rFonts w:ascii="Arial Narrow" w:hAnsi="Arial Narrow" w:cs="Arial"/>
          <w:sz w:val="18"/>
          <w:szCs w:val="18"/>
          <w:lang w:val="en-US"/>
        </w:rPr>
      </w:pPr>
      <w:r w:rsidRPr="005D40AB">
        <w:rPr>
          <w:rStyle w:val="FootnoteReference"/>
          <w:rFonts w:ascii="Arial Narrow" w:hAnsi="Arial Narrow"/>
          <w:sz w:val="18"/>
          <w:szCs w:val="18"/>
        </w:rPr>
        <w:footnoteRef/>
      </w:r>
      <w:r w:rsidRPr="00803063">
        <w:rPr>
          <w:rFonts w:ascii="Arial Narrow" w:hAnsi="Arial Narrow"/>
          <w:sz w:val="18"/>
          <w:szCs w:val="18"/>
          <w:lang w:val="en-US"/>
        </w:rPr>
        <w:t xml:space="preserve"> </w:t>
      </w:r>
      <w:proofErr w:type="spellStart"/>
      <w:r w:rsidR="00803063" w:rsidRPr="00803063">
        <w:rPr>
          <w:rFonts w:ascii="Arial Narrow" w:hAnsi="Arial Narrow" w:cs="Arial"/>
          <w:sz w:val="18"/>
          <w:szCs w:val="18"/>
          <w:lang w:val="en-US"/>
        </w:rPr>
        <w:t>Pagina</w:t>
      </w:r>
      <w:proofErr w:type="spellEnd"/>
      <w:r w:rsidR="00803063" w:rsidRPr="00803063">
        <w:rPr>
          <w:rFonts w:ascii="Arial Narrow" w:hAnsi="Arial Narrow" w:cs="Arial"/>
          <w:sz w:val="18"/>
          <w:szCs w:val="18"/>
          <w:lang w:val="en-US"/>
        </w:rPr>
        <w:t xml:space="preserve"> web: </w:t>
      </w:r>
      <w:r w:rsidR="00803063">
        <w:rPr>
          <w:rFonts w:ascii="Arial Narrow" w:hAnsi="Arial Narrow" w:cs="Arial"/>
          <w:sz w:val="18"/>
          <w:szCs w:val="18"/>
          <w:lang w:val="en-US"/>
        </w:rPr>
        <w:t>www.adc.org.ar</w:t>
      </w:r>
      <w:r w:rsidRPr="00803063">
        <w:rPr>
          <w:rFonts w:ascii="Arial Narrow" w:hAnsi="Arial Narrow" w:cs="Arial"/>
          <w:sz w:val="18"/>
          <w:szCs w:val="18"/>
          <w:lang w:val="en-US"/>
        </w:rPr>
        <w:t xml:space="preserve"> Email: </w:t>
      </w:r>
      <w:hyperlink r:id="rId20" w:history="1">
        <w:r w:rsidRPr="005D40AB">
          <w:rPr>
            <w:rFonts w:ascii="Arial Narrow" w:hAnsi="Arial Narrow" w:cs="Arial"/>
            <w:sz w:val="18"/>
            <w:szCs w:val="18"/>
            <w:lang w:val="pt-BR"/>
          </w:rPr>
          <w:t>adc@adc.org.ar</w:t>
        </w:r>
      </w:hyperlink>
      <w:r w:rsidRPr="00803063">
        <w:rPr>
          <w:rFonts w:ascii="Arial Narrow" w:hAnsi="Arial Narrow" w:cs="Arial"/>
          <w:sz w:val="18"/>
          <w:szCs w:val="18"/>
          <w:lang w:val="en-US"/>
        </w:rPr>
        <w:t xml:space="preserve">. </w:t>
      </w:r>
      <w:r w:rsidRPr="005D40AB">
        <w:rPr>
          <w:rFonts w:ascii="Arial Narrow" w:hAnsi="Arial Narrow" w:cs="Arial"/>
          <w:sz w:val="18"/>
          <w:szCs w:val="18"/>
          <w:lang w:val="es-ES"/>
        </w:rPr>
        <w:t xml:space="preserve">Dirección; </w:t>
      </w:r>
      <w:r w:rsidRPr="005D40AB">
        <w:rPr>
          <w:rFonts w:ascii="Arial Narrow" w:hAnsi="Arial Narrow" w:cs="Arial"/>
          <w:sz w:val="18"/>
          <w:szCs w:val="18"/>
          <w:lang w:val="pt-BR"/>
        </w:rPr>
        <w:t xml:space="preserve">Av. Córdoba 795 - Piso 8, C.A.B.A. </w:t>
      </w:r>
      <w:r w:rsidRPr="005D40AB">
        <w:rPr>
          <w:rFonts w:ascii="Arial Narrow" w:hAnsi="Arial Narrow" w:cs="Arial"/>
          <w:sz w:val="18"/>
          <w:szCs w:val="18"/>
        </w:rPr>
        <w:t>Teléfono: +5411-5236-0555</w:t>
      </w:r>
    </w:p>
    <w:p w:rsidR="001871B6" w:rsidRPr="005D40AB" w:rsidRDefault="001871B6" w:rsidP="001871B6">
      <w:pPr>
        <w:pStyle w:val="FootnoteText"/>
        <w:spacing w:after="0" w:line="240" w:lineRule="auto"/>
        <w:rPr>
          <w:rFonts w:ascii="Arial Narrow" w:hAnsi="Arial Narrow"/>
          <w:sz w:val="18"/>
          <w:szCs w:val="18"/>
          <w:lang w:val="es-AR"/>
        </w:rPr>
      </w:pPr>
    </w:p>
  </w:footnote>
  <w:footnote w:id="25">
    <w:p w:rsidR="001871B6" w:rsidRPr="005D40AB" w:rsidRDefault="001871B6" w:rsidP="001871B6">
      <w:pPr>
        <w:pStyle w:val="FootnoteText"/>
        <w:spacing w:after="0" w:line="240" w:lineRule="auto"/>
        <w:jc w:val="both"/>
        <w:rPr>
          <w:rFonts w:ascii="Arial Narrow" w:hAnsi="Arial Narrow"/>
          <w:sz w:val="18"/>
          <w:szCs w:val="18"/>
          <w:lang w:val="es-ES"/>
        </w:rPr>
      </w:pPr>
      <w:r w:rsidRPr="005D40AB">
        <w:rPr>
          <w:rStyle w:val="FootnoteReference"/>
          <w:rFonts w:ascii="Arial Narrow" w:hAnsi="Arial Narrow"/>
          <w:sz w:val="18"/>
          <w:szCs w:val="18"/>
        </w:rPr>
        <w:footnoteRef/>
      </w:r>
      <w:r w:rsidRPr="005D40AB">
        <w:rPr>
          <w:rFonts w:ascii="Arial Narrow" w:hAnsi="Arial Narrow"/>
          <w:sz w:val="18"/>
          <w:szCs w:val="18"/>
        </w:rPr>
        <w:t xml:space="preserve"> </w:t>
      </w:r>
      <w:r w:rsidRPr="005D40AB">
        <w:rPr>
          <w:rFonts w:ascii="Arial Narrow" w:hAnsi="Arial Narrow"/>
          <w:sz w:val="18"/>
          <w:szCs w:val="18"/>
          <w:lang w:val="es-AR"/>
        </w:rPr>
        <w:t xml:space="preserve">Página Web:  </w:t>
      </w:r>
      <w:hyperlink r:id="rId21" w:history="1">
        <w:r w:rsidRPr="005D40AB">
          <w:rPr>
            <w:rStyle w:val="Hyperlink"/>
            <w:rFonts w:ascii="Arial Narrow" w:hAnsi="Arial Narrow"/>
            <w:sz w:val="18"/>
            <w:szCs w:val="18"/>
            <w:lang w:val="es-ES"/>
          </w:rPr>
          <w:t>www.faica.org.ar</w:t>
        </w:r>
      </w:hyperlink>
      <w:r w:rsidRPr="005D40AB">
        <w:rPr>
          <w:rFonts w:ascii="Arial Narrow" w:hAnsi="Arial Narrow"/>
          <w:sz w:val="18"/>
          <w:szCs w:val="18"/>
        </w:rPr>
        <w:t xml:space="preserve">; </w:t>
      </w:r>
      <w:r w:rsidRPr="005D40AB">
        <w:rPr>
          <w:rFonts w:ascii="Arial Narrow" w:hAnsi="Arial Narrow"/>
          <w:sz w:val="18"/>
          <w:szCs w:val="18"/>
          <w:lang w:val="es-ES"/>
        </w:rPr>
        <w:t xml:space="preserve">Email: </w:t>
      </w:r>
      <w:hyperlink r:id="rId22" w:history="1">
        <w:r w:rsidRPr="005D40AB">
          <w:rPr>
            <w:rStyle w:val="Hyperlink"/>
            <w:rFonts w:ascii="Arial Narrow" w:hAnsi="Arial Narrow"/>
            <w:sz w:val="18"/>
            <w:szCs w:val="18"/>
            <w:lang w:val="es-ES"/>
          </w:rPr>
          <w:t>faica@faica.org.ar</w:t>
        </w:r>
      </w:hyperlink>
      <w:r w:rsidRPr="005D40AB">
        <w:rPr>
          <w:rFonts w:ascii="Arial Narrow" w:hAnsi="Arial Narrow"/>
          <w:sz w:val="18"/>
          <w:szCs w:val="18"/>
        </w:rPr>
        <w:t>; Dirección</w:t>
      </w:r>
      <w:r w:rsidRPr="005D40AB">
        <w:rPr>
          <w:rFonts w:ascii="Arial Narrow" w:hAnsi="Arial Narrow"/>
          <w:sz w:val="18"/>
          <w:szCs w:val="18"/>
          <w:lang w:val="es-AR"/>
        </w:rPr>
        <w:t xml:space="preserve">: Sarmiento 1136, planta alta, </w:t>
      </w:r>
      <w:r w:rsidR="00803063">
        <w:rPr>
          <w:rFonts w:ascii="Arial Narrow" w:hAnsi="Arial Narrow"/>
          <w:sz w:val="18"/>
          <w:szCs w:val="18"/>
          <w:lang w:val="es-AR"/>
        </w:rPr>
        <w:t>C.A.B.A</w:t>
      </w:r>
      <w:r w:rsidRPr="005D40AB">
        <w:rPr>
          <w:rFonts w:ascii="Arial Narrow" w:hAnsi="Arial Narrow"/>
          <w:sz w:val="18"/>
          <w:szCs w:val="18"/>
          <w:lang w:val="es-AR"/>
        </w:rPr>
        <w:t xml:space="preserve">; Teléfono: +5411-4381-9016. </w:t>
      </w:r>
    </w:p>
  </w:footnote>
  <w:footnote w:id="26">
    <w:p w:rsidR="00803063" w:rsidRPr="00803063" w:rsidRDefault="00803063">
      <w:pPr>
        <w:pStyle w:val="FootnoteText"/>
        <w:rPr>
          <w:lang w:val="es-AR"/>
        </w:rPr>
      </w:pPr>
      <w:r>
        <w:rPr>
          <w:rStyle w:val="FootnoteReference"/>
        </w:rPr>
        <w:footnoteRef/>
      </w:r>
      <w:r>
        <w:t xml:space="preserve"> </w:t>
      </w:r>
      <w:r w:rsidRPr="00803063">
        <w:rPr>
          <w:rFonts w:ascii="Arial Narrow" w:hAnsi="Arial Narrow"/>
          <w:sz w:val="18"/>
          <w:szCs w:val="18"/>
          <w:lang w:val="es-AR"/>
        </w:rPr>
        <w:t xml:space="preserve">Página web: </w:t>
      </w:r>
      <w:hyperlink r:id="rId23" w:history="1">
        <w:r w:rsidRPr="00803063">
          <w:rPr>
            <w:rStyle w:val="Hyperlink"/>
            <w:rFonts w:ascii="Arial Narrow" w:hAnsi="Arial Narrow"/>
            <w:sz w:val="18"/>
            <w:szCs w:val="18"/>
            <w:lang w:val="es-AR"/>
          </w:rPr>
          <w:t>www.acij.org.ar</w:t>
        </w:r>
      </w:hyperlink>
      <w:r w:rsidRPr="00803063">
        <w:rPr>
          <w:rFonts w:ascii="Arial Narrow" w:hAnsi="Arial Narrow"/>
          <w:sz w:val="18"/>
          <w:szCs w:val="18"/>
          <w:lang w:val="es-AR"/>
        </w:rPr>
        <w:t xml:space="preserve"> E-mail: </w:t>
      </w:r>
      <w:hyperlink r:id="rId24" w:history="1">
        <w:r w:rsidRPr="00803063">
          <w:rPr>
            <w:rStyle w:val="Hyperlink"/>
            <w:rFonts w:ascii="Arial Narrow" w:hAnsi="Arial Narrow"/>
            <w:sz w:val="18"/>
            <w:szCs w:val="18"/>
            <w:lang w:val="es-AR"/>
          </w:rPr>
          <w:t>info@acij.org.ar</w:t>
        </w:r>
      </w:hyperlink>
      <w:r w:rsidRPr="00803063">
        <w:rPr>
          <w:rFonts w:ascii="Arial Narrow" w:hAnsi="Arial Narrow"/>
          <w:sz w:val="18"/>
          <w:szCs w:val="18"/>
          <w:lang w:val="es-AR"/>
        </w:rPr>
        <w:t xml:space="preserve"> </w:t>
      </w:r>
      <w:r>
        <w:rPr>
          <w:rFonts w:ascii="Arial Narrow" w:hAnsi="Arial Narrow"/>
          <w:sz w:val="18"/>
          <w:szCs w:val="18"/>
          <w:lang w:val="es-AR"/>
        </w:rPr>
        <w:t xml:space="preserve">Dirección: </w:t>
      </w:r>
      <w:r w:rsidRPr="00803063">
        <w:rPr>
          <w:rFonts w:ascii="Arial Narrow" w:hAnsi="Arial Narrow"/>
          <w:sz w:val="18"/>
          <w:szCs w:val="18"/>
          <w:lang w:val="es-AR"/>
        </w:rPr>
        <w:t xml:space="preserve">Avda. de Mayo 1161, 5° piso, oficina “9” CABA Teléfono: </w:t>
      </w:r>
      <w:r>
        <w:rPr>
          <w:rFonts w:ascii="Arial Narrow" w:hAnsi="Arial Narrow"/>
          <w:sz w:val="18"/>
          <w:szCs w:val="18"/>
          <w:lang w:val="es-AR"/>
        </w:rPr>
        <w:t>+</w:t>
      </w:r>
      <w:r>
        <w:rPr>
          <w:rFonts w:ascii="Arial Narrow" w:hAnsi="Arial Narrow"/>
          <w:bCs/>
          <w:sz w:val="18"/>
          <w:szCs w:val="18"/>
          <w:lang w:val="es-AR"/>
        </w:rPr>
        <w:t xml:space="preserve">5411- </w:t>
      </w:r>
      <w:r w:rsidRPr="00803063">
        <w:rPr>
          <w:rFonts w:ascii="Arial Narrow" w:hAnsi="Arial Narrow"/>
          <w:bCs/>
          <w:sz w:val="18"/>
          <w:szCs w:val="18"/>
          <w:lang w:val="es-AR"/>
        </w:rPr>
        <w:t>4381-2371</w:t>
      </w:r>
      <w:r>
        <w:rPr>
          <w:rFonts w:ascii="Arial Narrow" w:hAnsi="Arial Narrow"/>
          <w:bCs/>
          <w:sz w:val="18"/>
          <w:szCs w:val="18"/>
          <w:lang w:val="es-A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FB2"/>
    <w:multiLevelType w:val="multilevel"/>
    <w:tmpl w:val="645E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639E3"/>
    <w:multiLevelType w:val="multilevel"/>
    <w:tmpl w:val="0788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55B63"/>
    <w:multiLevelType w:val="hybridMultilevel"/>
    <w:tmpl w:val="8A72A99A"/>
    <w:lvl w:ilvl="0" w:tplc="4BD823AA">
      <w:numFmt w:val="bullet"/>
      <w:lvlText w:val="-"/>
      <w:lvlJc w:val="left"/>
      <w:pPr>
        <w:ind w:left="720" w:hanging="360"/>
      </w:pPr>
      <w:rPr>
        <w:rFonts w:ascii="Arial" w:eastAsia="Times New Roman" w:hAnsi="Arial" w:cs="Arial" w:hint="default"/>
        <w:color w:val="000000"/>
        <w:sz w:val="15"/>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F9489F"/>
    <w:multiLevelType w:val="hybridMultilevel"/>
    <w:tmpl w:val="7F183B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89"/>
    <w:rsid w:val="000715F1"/>
    <w:rsid w:val="00076773"/>
    <w:rsid w:val="00121669"/>
    <w:rsid w:val="00152617"/>
    <w:rsid w:val="001653DF"/>
    <w:rsid w:val="001871B6"/>
    <w:rsid w:val="002731C1"/>
    <w:rsid w:val="002917EB"/>
    <w:rsid w:val="00341ABD"/>
    <w:rsid w:val="00363731"/>
    <w:rsid w:val="003848C3"/>
    <w:rsid w:val="0041532C"/>
    <w:rsid w:val="004614F3"/>
    <w:rsid w:val="004939B7"/>
    <w:rsid w:val="004A0E09"/>
    <w:rsid w:val="0055183A"/>
    <w:rsid w:val="005D33E8"/>
    <w:rsid w:val="005D40AB"/>
    <w:rsid w:val="00625F2F"/>
    <w:rsid w:val="0070640C"/>
    <w:rsid w:val="00712A35"/>
    <w:rsid w:val="00760D9C"/>
    <w:rsid w:val="00762B3E"/>
    <w:rsid w:val="007646A3"/>
    <w:rsid w:val="00765B21"/>
    <w:rsid w:val="0078790A"/>
    <w:rsid w:val="00803063"/>
    <w:rsid w:val="0084717C"/>
    <w:rsid w:val="008C3F06"/>
    <w:rsid w:val="00914104"/>
    <w:rsid w:val="00920549"/>
    <w:rsid w:val="009756F4"/>
    <w:rsid w:val="009B4D0F"/>
    <w:rsid w:val="00A173FC"/>
    <w:rsid w:val="00A95C48"/>
    <w:rsid w:val="00B317A5"/>
    <w:rsid w:val="00B60362"/>
    <w:rsid w:val="00C04789"/>
    <w:rsid w:val="00C847DB"/>
    <w:rsid w:val="00CD7D1E"/>
    <w:rsid w:val="00CF215A"/>
    <w:rsid w:val="00CF3080"/>
    <w:rsid w:val="00CF5095"/>
    <w:rsid w:val="00D421A2"/>
    <w:rsid w:val="00D62B9D"/>
    <w:rsid w:val="00D94206"/>
    <w:rsid w:val="00E0222C"/>
    <w:rsid w:val="00EB1B8B"/>
    <w:rsid w:val="00F07364"/>
    <w:rsid w:val="00F34173"/>
    <w:rsid w:val="00F406C3"/>
    <w:rsid w:val="00F544EC"/>
    <w:rsid w:val="00FA54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89"/>
    <w:rPr>
      <w:rFonts w:ascii="Calibri" w:eastAsia="Times New Roman" w:hAnsi="Calibri" w:cs="Times New Roman"/>
    </w:rPr>
  </w:style>
  <w:style w:type="paragraph" w:styleId="Heading5">
    <w:name w:val="heading 5"/>
    <w:basedOn w:val="Normal"/>
    <w:link w:val="Heading5Char"/>
    <w:uiPriority w:val="9"/>
    <w:qFormat/>
    <w:rsid w:val="00762B3E"/>
    <w:pPr>
      <w:spacing w:before="100" w:beforeAutospacing="1" w:after="100" w:afterAutospacing="1" w:line="240" w:lineRule="auto"/>
      <w:outlineLvl w:val="4"/>
    </w:pPr>
    <w:rPr>
      <w:rFonts w:ascii="Times New Roman" w:hAnsi="Times New Roman"/>
      <w:b/>
      <w:bCs/>
      <w:sz w:val="20"/>
      <w:szCs w:val="20"/>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04789"/>
    <w:rPr>
      <w:sz w:val="20"/>
      <w:szCs w:val="20"/>
      <w:lang w:val="es-ES_tradnl"/>
    </w:rPr>
  </w:style>
  <w:style w:type="character" w:customStyle="1" w:styleId="FootnoteTextChar">
    <w:name w:val="Footnote Text Char"/>
    <w:basedOn w:val="DefaultParagraphFont"/>
    <w:link w:val="FootnoteText"/>
    <w:rsid w:val="00C04789"/>
    <w:rPr>
      <w:rFonts w:ascii="Calibri" w:eastAsia="Times New Roman" w:hAnsi="Calibri" w:cs="Times New Roman"/>
      <w:sz w:val="20"/>
      <w:szCs w:val="20"/>
      <w:lang w:val="es-ES_tradnl"/>
    </w:rPr>
  </w:style>
  <w:style w:type="character" w:styleId="FootnoteReference">
    <w:name w:val="footnote reference"/>
    <w:aliases w:val="Footnotes refss,Ref,de nota al pie,Texto de nota al pie,normal,Appel note de bas de page,4_G,f,Footnote number,referencia nota al pie,BVI fnr"/>
    <w:semiHidden/>
    <w:rsid w:val="00C04789"/>
    <w:rPr>
      <w:rFonts w:cs="Times New Roman"/>
      <w:vertAlign w:val="superscript"/>
    </w:rPr>
  </w:style>
  <w:style w:type="character" w:styleId="Hyperlink">
    <w:name w:val="Hyperlink"/>
    <w:rsid w:val="00C04789"/>
    <w:rPr>
      <w:rFonts w:cs="Times New Roman"/>
      <w:color w:val="0000FF"/>
      <w:u w:val="single"/>
    </w:rPr>
  </w:style>
  <w:style w:type="paragraph" w:styleId="BalloonText">
    <w:name w:val="Balloon Text"/>
    <w:basedOn w:val="Normal"/>
    <w:link w:val="BalloonTextChar"/>
    <w:uiPriority w:val="99"/>
    <w:semiHidden/>
    <w:unhideWhenUsed/>
    <w:rsid w:val="00C0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89"/>
    <w:rPr>
      <w:rFonts w:ascii="Tahoma" w:eastAsia="Times New Roman" w:hAnsi="Tahoma" w:cs="Tahoma"/>
      <w:sz w:val="16"/>
      <w:szCs w:val="16"/>
    </w:rPr>
  </w:style>
  <w:style w:type="paragraph" w:styleId="ListParagraph">
    <w:name w:val="List Paragraph"/>
    <w:basedOn w:val="Normal"/>
    <w:uiPriority w:val="34"/>
    <w:qFormat/>
    <w:rsid w:val="004614F3"/>
    <w:pPr>
      <w:ind w:left="720"/>
      <w:contextualSpacing/>
    </w:pPr>
    <w:rPr>
      <w:rFonts w:asciiTheme="minorHAnsi" w:eastAsiaTheme="minorHAnsi" w:hAnsiTheme="minorHAnsi" w:cstheme="minorBidi"/>
    </w:rPr>
  </w:style>
  <w:style w:type="paragraph" w:customStyle="1" w:styleId="SingleTxtG">
    <w:name w:val="_ Single Txt_G"/>
    <w:basedOn w:val="Normal"/>
    <w:link w:val="SingleTxtGCar"/>
    <w:rsid w:val="00712A35"/>
    <w:pPr>
      <w:spacing w:after="120" w:line="240" w:lineRule="atLeast"/>
      <w:ind w:left="1134" w:right="1134"/>
      <w:jc w:val="both"/>
    </w:pPr>
    <w:rPr>
      <w:rFonts w:ascii="Times New Roman" w:hAnsi="Times New Roman"/>
      <w:sz w:val="20"/>
      <w:szCs w:val="20"/>
      <w:lang w:val="es-ES" w:eastAsia="es-ES"/>
    </w:rPr>
  </w:style>
  <w:style w:type="character" w:customStyle="1" w:styleId="SingleTxtGCar">
    <w:name w:val="_ Single Txt_G Car"/>
    <w:link w:val="SingleTxtG"/>
    <w:locked/>
    <w:rsid w:val="00712A35"/>
    <w:rPr>
      <w:rFonts w:ascii="Times New Roman" w:eastAsia="Times New Roman" w:hAnsi="Times New Roman" w:cs="Times New Roman"/>
      <w:sz w:val="20"/>
      <w:szCs w:val="20"/>
      <w:lang w:val="es-ES" w:eastAsia="es-ES"/>
    </w:rPr>
  </w:style>
  <w:style w:type="character" w:customStyle="1" w:styleId="Heading5Char">
    <w:name w:val="Heading 5 Char"/>
    <w:basedOn w:val="DefaultParagraphFont"/>
    <w:link w:val="Heading5"/>
    <w:uiPriority w:val="9"/>
    <w:rsid w:val="00762B3E"/>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762B3E"/>
    <w:pPr>
      <w:spacing w:before="100" w:beforeAutospacing="1" w:after="100" w:afterAutospacing="1" w:line="240" w:lineRule="auto"/>
    </w:pPr>
    <w:rPr>
      <w:rFonts w:ascii="Times New Roman" w:hAnsi="Times New Roman"/>
      <w:sz w:val="24"/>
      <w:szCs w:val="24"/>
      <w:lang w:eastAsia="es-AR"/>
    </w:rPr>
  </w:style>
  <w:style w:type="character" w:customStyle="1" w:styleId="apple-converted-space">
    <w:name w:val="apple-converted-space"/>
    <w:basedOn w:val="DefaultParagraphFont"/>
    <w:rsid w:val="00762B3E"/>
  </w:style>
  <w:style w:type="character" w:styleId="Strong">
    <w:name w:val="Strong"/>
    <w:basedOn w:val="DefaultParagraphFont"/>
    <w:uiPriority w:val="22"/>
    <w:qFormat/>
    <w:rsid w:val="00762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89"/>
    <w:rPr>
      <w:rFonts w:ascii="Calibri" w:eastAsia="Times New Roman" w:hAnsi="Calibri" w:cs="Times New Roman"/>
    </w:rPr>
  </w:style>
  <w:style w:type="paragraph" w:styleId="Heading5">
    <w:name w:val="heading 5"/>
    <w:basedOn w:val="Normal"/>
    <w:link w:val="Heading5Char"/>
    <w:uiPriority w:val="9"/>
    <w:qFormat/>
    <w:rsid w:val="00762B3E"/>
    <w:pPr>
      <w:spacing w:before="100" w:beforeAutospacing="1" w:after="100" w:afterAutospacing="1" w:line="240" w:lineRule="auto"/>
      <w:outlineLvl w:val="4"/>
    </w:pPr>
    <w:rPr>
      <w:rFonts w:ascii="Times New Roman" w:hAnsi="Times New Roman"/>
      <w:b/>
      <w:bCs/>
      <w:sz w:val="20"/>
      <w:szCs w:val="20"/>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04789"/>
    <w:rPr>
      <w:sz w:val="20"/>
      <w:szCs w:val="20"/>
      <w:lang w:val="es-ES_tradnl"/>
    </w:rPr>
  </w:style>
  <w:style w:type="character" w:customStyle="1" w:styleId="FootnoteTextChar">
    <w:name w:val="Footnote Text Char"/>
    <w:basedOn w:val="DefaultParagraphFont"/>
    <w:link w:val="FootnoteText"/>
    <w:rsid w:val="00C04789"/>
    <w:rPr>
      <w:rFonts w:ascii="Calibri" w:eastAsia="Times New Roman" w:hAnsi="Calibri" w:cs="Times New Roman"/>
      <w:sz w:val="20"/>
      <w:szCs w:val="20"/>
      <w:lang w:val="es-ES_tradnl"/>
    </w:rPr>
  </w:style>
  <w:style w:type="character" w:styleId="FootnoteReference">
    <w:name w:val="footnote reference"/>
    <w:aliases w:val="Footnotes refss,Ref,de nota al pie,Texto de nota al pie,normal,Appel note de bas de page,4_G,f,Footnote number,referencia nota al pie,BVI fnr"/>
    <w:semiHidden/>
    <w:rsid w:val="00C04789"/>
    <w:rPr>
      <w:rFonts w:cs="Times New Roman"/>
      <w:vertAlign w:val="superscript"/>
    </w:rPr>
  </w:style>
  <w:style w:type="character" w:styleId="Hyperlink">
    <w:name w:val="Hyperlink"/>
    <w:rsid w:val="00C04789"/>
    <w:rPr>
      <w:rFonts w:cs="Times New Roman"/>
      <w:color w:val="0000FF"/>
      <w:u w:val="single"/>
    </w:rPr>
  </w:style>
  <w:style w:type="paragraph" w:styleId="BalloonText">
    <w:name w:val="Balloon Text"/>
    <w:basedOn w:val="Normal"/>
    <w:link w:val="BalloonTextChar"/>
    <w:uiPriority w:val="99"/>
    <w:semiHidden/>
    <w:unhideWhenUsed/>
    <w:rsid w:val="00C0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89"/>
    <w:rPr>
      <w:rFonts w:ascii="Tahoma" w:eastAsia="Times New Roman" w:hAnsi="Tahoma" w:cs="Tahoma"/>
      <w:sz w:val="16"/>
      <w:szCs w:val="16"/>
    </w:rPr>
  </w:style>
  <w:style w:type="paragraph" w:styleId="ListParagraph">
    <w:name w:val="List Paragraph"/>
    <w:basedOn w:val="Normal"/>
    <w:uiPriority w:val="34"/>
    <w:qFormat/>
    <w:rsid w:val="004614F3"/>
    <w:pPr>
      <w:ind w:left="720"/>
      <w:contextualSpacing/>
    </w:pPr>
    <w:rPr>
      <w:rFonts w:asciiTheme="minorHAnsi" w:eastAsiaTheme="minorHAnsi" w:hAnsiTheme="minorHAnsi" w:cstheme="minorBidi"/>
    </w:rPr>
  </w:style>
  <w:style w:type="paragraph" w:customStyle="1" w:styleId="SingleTxtG">
    <w:name w:val="_ Single Txt_G"/>
    <w:basedOn w:val="Normal"/>
    <w:link w:val="SingleTxtGCar"/>
    <w:rsid w:val="00712A35"/>
    <w:pPr>
      <w:spacing w:after="120" w:line="240" w:lineRule="atLeast"/>
      <w:ind w:left="1134" w:right="1134"/>
      <w:jc w:val="both"/>
    </w:pPr>
    <w:rPr>
      <w:rFonts w:ascii="Times New Roman" w:hAnsi="Times New Roman"/>
      <w:sz w:val="20"/>
      <w:szCs w:val="20"/>
      <w:lang w:val="es-ES" w:eastAsia="es-ES"/>
    </w:rPr>
  </w:style>
  <w:style w:type="character" w:customStyle="1" w:styleId="SingleTxtGCar">
    <w:name w:val="_ Single Txt_G Car"/>
    <w:link w:val="SingleTxtG"/>
    <w:locked/>
    <w:rsid w:val="00712A35"/>
    <w:rPr>
      <w:rFonts w:ascii="Times New Roman" w:eastAsia="Times New Roman" w:hAnsi="Times New Roman" w:cs="Times New Roman"/>
      <w:sz w:val="20"/>
      <w:szCs w:val="20"/>
      <w:lang w:val="es-ES" w:eastAsia="es-ES"/>
    </w:rPr>
  </w:style>
  <w:style w:type="character" w:customStyle="1" w:styleId="Heading5Char">
    <w:name w:val="Heading 5 Char"/>
    <w:basedOn w:val="DefaultParagraphFont"/>
    <w:link w:val="Heading5"/>
    <w:uiPriority w:val="9"/>
    <w:rsid w:val="00762B3E"/>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762B3E"/>
    <w:pPr>
      <w:spacing w:before="100" w:beforeAutospacing="1" w:after="100" w:afterAutospacing="1" w:line="240" w:lineRule="auto"/>
    </w:pPr>
    <w:rPr>
      <w:rFonts w:ascii="Times New Roman" w:hAnsi="Times New Roman"/>
      <w:sz w:val="24"/>
      <w:szCs w:val="24"/>
      <w:lang w:eastAsia="es-AR"/>
    </w:rPr>
  </w:style>
  <w:style w:type="character" w:customStyle="1" w:styleId="apple-converted-space">
    <w:name w:val="apple-converted-space"/>
    <w:basedOn w:val="DefaultParagraphFont"/>
    <w:rsid w:val="00762B3E"/>
  </w:style>
  <w:style w:type="character" w:styleId="Strong">
    <w:name w:val="Strong"/>
    <w:basedOn w:val="DefaultParagraphFont"/>
    <w:uiPriority w:val="22"/>
    <w:qFormat/>
    <w:rsid w:val="00762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1984">
      <w:bodyDiv w:val="1"/>
      <w:marLeft w:val="0"/>
      <w:marRight w:val="0"/>
      <w:marTop w:val="0"/>
      <w:marBottom w:val="0"/>
      <w:divBdr>
        <w:top w:val="none" w:sz="0" w:space="0" w:color="auto"/>
        <w:left w:val="none" w:sz="0" w:space="0" w:color="auto"/>
        <w:bottom w:val="none" w:sz="0" w:space="0" w:color="auto"/>
        <w:right w:val="none" w:sz="0" w:space="0" w:color="auto"/>
      </w:divBdr>
      <w:divsChild>
        <w:div w:id="207358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ycn.congreso.gov.ar/export/hcdn/comisiones/especiales/cbunificacioncodigos/ponencias/buenosaires/pdfs/101_Mesa_Federal_de_Salud_Mental.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cycn.congreso.gov.ar/export/hcdn/comisiones/especiales/cbunificacioncodigos/ponencias/buenosaires/pdfs/101_Mesa_Federal_de_Salud_Ment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cycn.congreso.gov.ar/reglamento.html" TargetMode="External"/><Relationship Id="rId13" Type="http://schemas.openxmlformats.org/officeDocument/2006/relationships/hyperlink" Target="http://www.mpd.gov.ar/noticia/index/noticia/la-dgn-pidio-garantizar-el-derecho-al-voto-de-las-personas-internadas-en-centros-de-salud-mental-785" TargetMode="External"/><Relationship Id="rId18" Type="http://schemas.openxmlformats.org/officeDocument/2006/relationships/hyperlink" Target="file:///C:\Users\AppData\Roaming\AppData\Roaming\Downloads\P&#225;gina%20web:%20www.redi.org.ar" TargetMode="External"/><Relationship Id="rId3" Type="http://schemas.openxmlformats.org/officeDocument/2006/relationships/hyperlink" Target="http://ccycn.congreso.gov.ar/versiones/index.html" TargetMode="External"/><Relationship Id="rId21" Type="http://schemas.openxmlformats.org/officeDocument/2006/relationships/hyperlink" Target="http://www.faica.org.ar" TargetMode="External"/><Relationship Id="rId7" Type="http://schemas.openxmlformats.org/officeDocument/2006/relationships/hyperlink" Target="http://ccycn.congreso.gov.ar/versiones/buenosaires/2013-03-21.html" TargetMode="External"/><Relationship Id="rId12" Type="http://schemas.openxmlformats.org/officeDocument/2006/relationships/hyperlink" Target="http://www.ohchr.org/Documents/HRBodies/CRPD/8thSession/REDI-CELS-FAICA-FENDIM-ADC_Argentina.doc" TargetMode="External"/><Relationship Id="rId17" Type="http://schemas.openxmlformats.org/officeDocument/2006/relationships/hyperlink" Target="https://docs.google.com/viewer?url=http://www.redi.org.ar/docs/El%20derecho%20al%20voto%20final.docx" TargetMode="External"/><Relationship Id="rId2" Type="http://schemas.openxmlformats.org/officeDocument/2006/relationships/hyperlink" Target="http://ccycn.congreso.gov.ar/resolucion.html" TargetMode="External"/><Relationship Id="rId16" Type="http://schemas.openxmlformats.org/officeDocument/2006/relationships/hyperlink" Target="http://infoleg.mecon.gov.ar/infolegInternet/verNorma.do?id=161453" TargetMode="External"/><Relationship Id="rId20" Type="http://schemas.openxmlformats.org/officeDocument/2006/relationships/hyperlink" Target="mailto:adc@adc.org.ar" TargetMode="External"/><Relationship Id="rId1" Type="http://schemas.openxmlformats.org/officeDocument/2006/relationships/hyperlink" Target="http://www.infojus.gov.ar/_pdf/codigo_civil_comercial.pdf" TargetMode="External"/><Relationship Id="rId6" Type="http://schemas.openxmlformats.org/officeDocument/2006/relationships/hyperlink" Target="http://www.infojus.gov.ar/_pdf/codigo_civil_comercial.pdf" TargetMode="External"/><Relationship Id="rId11" Type="http://schemas.openxmlformats.org/officeDocument/2006/relationships/hyperlink" Target="http://www.youtube.com/watch?v=tHdb1I0Grbw" TargetMode="External"/><Relationship Id="rId24" Type="http://schemas.openxmlformats.org/officeDocument/2006/relationships/hyperlink" Target="mailto:info@acij.org.ar" TargetMode="External"/><Relationship Id="rId5" Type="http://schemas.openxmlformats.org/officeDocument/2006/relationships/hyperlink" Target="http://ccycn.congreso.gov.ar/versiones/buenosaires/2012-21-08.html" TargetMode="External"/><Relationship Id="rId15" Type="http://schemas.openxmlformats.org/officeDocument/2006/relationships/hyperlink" Target="http://www.accesoya.org.ar/blog/wp-content/uploads/2010/09/A-Total-Pa%C3%ADs.pdf" TargetMode="External"/><Relationship Id="rId23" Type="http://schemas.openxmlformats.org/officeDocument/2006/relationships/hyperlink" Target="http://www.acij.org.ar" TargetMode="External"/><Relationship Id="rId10" Type="http://schemas.openxmlformats.org/officeDocument/2006/relationships/hyperlink" Target="http://ccycn.congreso.gov.ar/versiones/rosario/2012-10-09.html" TargetMode="External"/><Relationship Id="rId19" Type="http://schemas.openxmlformats.org/officeDocument/2006/relationships/hyperlink" Target="mailto:info@redi.org.ar" TargetMode="External"/><Relationship Id="rId4" Type="http://schemas.openxmlformats.org/officeDocument/2006/relationships/hyperlink" Target="http://ccycn.congreso.gov.ar/versiones/buenosaires/2012-14-08b.html" TargetMode="External"/><Relationship Id="rId9" Type="http://schemas.openxmlformats.org/officeDocument/2006/relationships/hyperlink" Target="http://ccycn.congreso.gov.ar/reglamento.html" TargetMode="External"/><Relationship Id="rId14" Type="http://schemas.openxmlformats.org/officeDocument/2006/relationships/hyperlink" Target="http://www.elecciones.gov.ar/accesibilidad/accesibilidad.htm" TargetMode="External"/><Relationship Id="rId22" Type="http://schemas.openxmlformats.org/officeDocument/2006/relationships/hyperlink" Target="mailto:faica@faica.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64AFC-4A9F-47F7-8FF8-8A0FEEC8A57A}"/>
</file>

<file path=customXml/itemProps2.xml><?xml version="1.0" encoding="utf-8"?>
<ds:datastoreItem xmlns:ds="http://schemas.openxmlformats.org/officeDocument/2006/customXml" ds:itemID="{4C943DC7-D170-4451-A974-6FA8741997CA}"/>
</file>

<file path=customXml/itemProps3.xml><?xml version="1.0" encoding="utf-8"?>
<ds:datastoreItem xmlns:ds="http://schemas.openxmlformats.org/officeDocument/2006/customXml" ds:itemID="{0E80599B-FB1E-4551-825E-664A59D75317}"/>
</file>

<file path=customXml/itemProps4.xml><?xml version="1.0" encoding="utf-8"?>
<ds:datastoreItem xmlns:ds="http://schemas.openxmlformats.org/officeDocument/2006/customXml" ds:itemID="{A924F02D-A455-4DCE-9E29-09EBAFB00443}"/>
</file>

<file path=docProps/app.xml><?xml version="1.0" encoding="utf-8"?>
<Properties xmlns="http://schemas.openxmlformats.org/officeDocument/2006/extended-properties" xmlns:vt="http://schemas.openxmlformats.org/officeDocument/2006/docPropsVTypes">
  <Template>Normal</Template>
  <TotalTime>4</TotalTime>
  <Pages>12</Pages>
  <Words>5186</Words>
  <Characters>29563</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Evangelina</dc:creator>
  <cp:lastModifiedBy>Robert Ouko</cp:lastModifiedBy>
  <cp:revision>2</cp:revision>
  <dcterms:created xsi:type="dcterms:W3CDTF">2014-03-31T10:59:00Z</dcterms:created>
  <dcterms:modified xsi:type="dcterms:W3CDTF">2014-03-31T10:59:00Z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